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szCs w:val="32"/>
        </w:rPr>
      </w:pPr>
      <w:bookmarkStart w:id="0" w:name="wgn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szCs w:val="32"/>
        </w:rPr>
      </w:pPr>
    </w:p>
    <w:p>
      <w:pPr>
        <w:jc w:val="center"/>
        <w:rPr>
          <w:szCs w:val="32"/>
        </w:rPr>
      </w:pPr>
    </w:p>
    <w:p>
      <w:pPr>
        <w:jc w:val="center"/>
        <w:rPr>
          <w:szCs w:val="32"/>
        </w:rPr>
      </w:pPr>
    </w:p>
    <w:p>
      <w:pPr>
        <w:ind w:firstLine="0"/>
        <w:jc w:val="center"/>
        <w:rPr>
          <w:rFonts w:hint="eastAsia" w:ascii="方正仿宋_GBK" w:hAnsi="方正仿宋_GBK" w:eastAsia="方正仿宋_GBK" w:cs="方正仿宋_GBK"/>
          <w:szCs w:val="32"/>
        </w:rPr>
      </w:pPr>
      <w:bookmarkStart w:id="7" w:name="_GoBack"/>
      <w:r>
        <w:rPr>
          <w:rFonts w:hint="eastAsia" w:ascii="方正仿宋_GBK" w:hAnsi="方正仿宋_GBK" w:eastAsia="方正仿宋_GBK" w:cs="方正仿宋_GBK"/>
          <w:szCs w:val="32"/>
        </w:rPr>
        <w:t>北碚府办发〔2019〕</w:t>
      </w:r>
      <w:r>
        <w:rPr>
          <w:rFonts w:hint="eastAsia" w:ascii="方正仿宋_GBK" w:hAnsi="方正仿宋_GBK" w:eastAsia="方正仿宋_GBK" w:cs="方正仿宋_GBK"/>
          <w:szCs w:val="32"/>
          <w:lang w:val="en-US" w:eastAsia="zh-CN"/>
        </w:rPr>
        <w:t>3</w:t>
      </w:r>
      <w:r>
        <w:rPr>
          <w:rFonts w:hint="eastAsia" w:ascii="方正仿宋_GBK" w:hAnsi="方正仿宋_GBK" w:cs="方正仿宋_GBK"/>
          <w:szCs w:val="32"/>
          <w:lang w:val="en-US" w:eastAsia="zh-CN"/>
        </w:rPr>
        <w:t>5</w:t>
      </w:r>
      <w:r>
        <w:rPr>
          <w:rFonts w:hint="eastAsia" w:ascii="方正仿宋_GBK" w:hAnsi="方正仿宋_GBK" w:eastAsia="方正仿宋_GBK" w:cs="方正仿宋_GBK"/>
          <w:szCs w:val="32"/>
        </w:rPr>
        <w:t>号</w:t>
      </w:r>
    </w:p>
    <w:p>
      <w:pPr>
        <w:spacing w:line="440" w:lineRule="exact"/>
        <w:jc w:val="center"/>
        <w:rPr>
          <w:szCs w:val="32"/>
        </w:rPr>
      </w:pPr>
    </w:p>
    <w:p>
      <w:pPr>
        <w:spacing w:line="440" w:lineRule="exact"/>
        <w:jc w:val="center"/>
        <w:rPr>
          <w:szCs w:val="32"/>
        </w:rPr>
      </w:pPr>
    </w:p>
    <w:bookmarkEnd w:id="0"/>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重庆市北碚区人民政府办公室</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关于印发</w:t>
      </w:r>
      <w:r>
        <w:rPr>
          <w:rFonts w:hint="eastAsia" w:ascii="方正小标宋_GBK" w:hAnsi="方正小标宋_GBK" w:eastAsia="方正小标宋_GBK" w:cs="方正小标宋_GBK"/>
          <w:bCs/>
          <w:sz w:val="44"/>
          <w:szCs w:val="44"/>
        </w:rPr>
        <w:t>北碚区农业农村污染治理攻坚战</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行动计划实施方案</w:t>
      </w:r>
      <w:r>
        <w:rPr>
          <w:rFonts w:hint="eastAsia" w:ascii="方正小标宋_GBK" w:hAnsi="方正小标宋_GBK" w:eastAsia="方正小标宋_GBK" w:cs="方正小标宋_GBK"/>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Cs w:val="32"/>
          <w:lang w:eastAsia="zh-CN"/>
        </w:rPr>
      </w:pPr>
      <w:r>
        <w:rPr>
          <w:rFonts w:hint="eastAsia"/>
          <w:szCs w:val="32"/>
          <w:lang w:eastAsia="zh-CN"/>
        </w:rPr>
        <w:t>各街道办事处、镇人民政府，区政府各部门，各园区管委会，有关单位：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32"/>
          <w:lang w:eastAsia="zh-CN"/>
        </w:rPr>
      </w:pPr>
      <w:r>
        <w:rPr>
          <w:rFonts w:hint="eastAsia"/>
          <w:szCs w:val="32"/>
          <w:lang w:eastAsia="zh-CN"/>
        </w:rPr>
        <w:t>《北碚区</w:t>
      </w:r>
      <w:r>
        <w:rPr>
          <w:rFonts w:hint="eastAsia"/>
          <w:szCs w:val="32"/>
        </w:rPr>
        <w:t>农业农村污染治理攻坚战行动计划实施方案</w:t>
      </w:r>
      <w:r>
        <w:rPr>
          <w:rFonts w:hint="eastAsia"/>
          <w:szCs w:val="32"/>
          <w:lang w:eastAsia="zh-CN"/>
        </w:rPr>
        <w:t>》已经区政府同意，现印发给你们，请认真遵照执行。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64" w:firstLineChars="400"/>
        <w:jc w:val="both"/>
        <w:textAlignment w:val="auto"/>
        <w:outlineLvl w:val="9"/>
        <w:rPr>
          <w:rFonts w:hint="eastAsia"/>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Cs w:val="32"/>
          <w:lang w:eastAsia="zh-CN"/>
        </w:rPr>
      </w:pPr>
      <w:r>
        <w:rPr>
          <w:rFonts w:hint="eastAsia"/>
          <w:szCs w:val="32"/>
          <w:lang w:val="en-US" w:eastAsia="zh-CN"/>
        </w:rPr>
        <w:t xml:space="preserve">                             </w:t>
      </w:r>
      <w:r>
        <w:rPr>
          <w:rFonts w:hint="eastAsia"/>
          <w:szCs w:val="32"/>
          <w:lang w:eastAsia="zh-CN"/>
        </w:rPr>
        <w:t>重庆市北碚区人民政府办公室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Cs w:val="32"/>
          <w:lang w:eastAsia="zh-CN"/>
        </w:rPr>
      </w:pPr>
      <w:r>
        <w:rPr>
          <w:rFonts w:hint="eastAsia"/>
          <w:szCs w:val="32"/>
          <w:lang w:val="en-US" w:eastAsia="zh-CN"/>
        </w:rPr>
        <w:t xml:space="preserve">                                  </w:t>
      </w:r>
      <w:r>
        <w:rPr>
          <w:rFonts w:hint="eastAsia"/>
          <w:szCs w:val="32"/>
          <w:lang w:eastAsia="zh-CN"/>
        </w:rPr>
        <w:t>2019年</w:t>
      </w:r>
      <w:r>
        <w:rPr>
          <w:rFonts w:hint="eastAsia"/>
          <w:szCs w:val="32"/>
          <w:lang w:val="en-US" w:eastAsia="zh-CN"/>
        </w:rPr>
        <w:t>5</w:t>
      </w:r>
      <w:r>
        <w:rPr>
          <w:rFonts w:hint="eastAsia"/>
          <w:szCs w:val="32"/>
          <w:lang w:eastAsia="zh-CN"/>
        </w:rPr>
        <w:t>月</w:t>
      </w:r>
      <w:r>
        <w:rPr>
          <w:rFonts w:hint="eastAsia"/>
          <w:szCs w:val="32"/>
          <w:lang w:val="en-US" w:eastAsia="zh-CN"/>
        </w:rPr>
        <w:t>21</w:t>
      </w:r>
      <w:r>
        <w:rPr>
          <w:rFonts w:hint="eastAsia"/>
          <w:szCs w:val="32"/>
          <w:lang w:eastAsia="zh-CN"/>
        </w:rPr>
        <w:t>日</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北碚区农业农村污染治理攻坚战</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行动计划实施方案</w:t>
      </w:r>
    </w:p>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szCs w:val="32"/>
        </w:rPr>
      </w:pPr>
      <w:r>
        <w:rPr>
          <w:rFonts w:hint="eastAsia"/>
          <w:szCs w:val="32"/>
        </w:rPr>
        <w:t>治理农业农村污染，是实施乡村振兴战略的重要任务，事关全面建成小康社会，事关农村生态文明建设。为全面贯彻落实生态环境部、农业农村部印发的《农业农村污染治理攻坚战行动计划》（环土壤〔2018〕143号）和重庆市生态环境局、重庆市农业农村委员会印发的《重庆市农业农村污染治理攻坚战行动计划实施方案》（渝环函〔2</w:t>
      </w:r>
      <w:r>
        <w:rPr>
          <w:szCs w:val="32"/>
        </w:rPr>
        <w:t>019</w:t>
      </w:r>
      <w:r>
        <w:rPr>
          <w:rFonts w:hint="eastAsia"/>
          <w:szCs w:val="32"/>
        </w:rPr>
        <w:t>〕1</w:t>
      </w:r>
      <w:r>
        <w:rPr>
          <w:szCs w:val="32"/>
        </w:rPr>
        <w:t>19</w:t>
      </w:r>
      <w:r>
        <w:rPr>
          <w:rFonts w:hint="eastAsia"/>
          <w:szCs w:val="32"/>
        </w:rPr>
        <w:t>号）等相关文件要求，推进乡村振兴战略实施，打好农业农村污染治理攻坚战，加快解决我区农业农村突出环境问题，特制定本实施方案。</w:t>
      </w:r>
    </w:p>
    <w:p>
      <w:pPr>
        <w:pStyle w:val="3"/>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一、总体要求</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（一）指导思想</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以习近平新时代中国特色社会主义思想为指导，全面贯彻党的十九大和十九届二中、三中全会精神，认真贯彻落实</w:t>
      </w:r>
      <w:r>
        <w:rPr>
          <w:rFonts w:hint="default" w:ascii="Times New Roman" w:hAnsi="Times New Roman" w:cs="Times New Roman"/>
          <w:szCs w:val="32"/>
        </w:rPr>
        <w:t>习近平总书记对重庆提出的“两点”定位、“两地”“两高”目标、发挥“三个作用”和营造良好政治生态的重要指示要求</w:t>
      </w:r>
      <w:r>
        <w:rPr>
          <w:rFonts w:hint="eastAsia"/>
        </w:rPr>
        <w:t>，牢固树立和贯彻落实新发展理念，统筹推进“五位一体”总体布局和协调推进“四个全面”战略布局，深学笃用习近平生态文明思想，认真贯彻全国生态环境保护大会精神以及中共中央国务院《关于全面加强生态环境保护坚决打好污染防治攻坚战的意见》，扎实推进实施乡村振兴战略，强化污染治理、循环利用和生态保护，深入推进农村人居环境整治和农业投入品减量化、生产清洁化、废弃物资源化、产业模式生态化，深化体制机制改革，发挥好政府和市场两个作用，充分调动农民群众积极性、主动性，突出重点区域，动员各方力量，强化各项措施，补齐农业农村生态环境保护突出短板，进一步增强广大农民的获得感和幸福感，努力推动高质量发展，创造高品质生活，加快建设山清水秀美丽之地，为全面建成小康社会打下坚实基础。</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（二）基本原则</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b/>
        </w:rPr>
        <w:t>——</w:t>
      </w:r>
      <w:r>
        <w:rPr>
          <w:rFonts w:hint="eastAsia"/>
        </w:rPr>
        <w:t>保护优先、绿色发展。编制实施国土空间规划，严格生态保护红线管控，统筹农村生产、生活和生态空间，优化种植和养殖生产布局、规模和结构，强化环境监管，大力发展绿色、生态、循环农业，从源头减少农业面源污染。</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b/>
        </w:rPr>
        <w:t>—</w:t>
      </w:r>
      <w:r>
        <w:rPr>
          <w:rFonts w:hint="eastAsia"/>
        </w:rPr>
        <w:t>—问题导向、系统施治。坚持优先解决农民群众最关心、最直接、最现实的突出环境问题，重点开展农村饮用水水源保护、生活垃圾污水治理、养殖业和种植业污染防治。统筹实施污染治理、过程控制、循环利用和脱贫攻坚，系统推进农业投入品减量化、生产清洁化、废弃物资源化、产业模式生态化。</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b/>
        </w:rPr>
        <w:t>—</w:t>
      </w:r>
      <w:r>
        <w:rPr>
          <w:rFonts w:hint="eastAsia"/>
        </w:rPr>
        <w:t>—因地制宜、实事求是。以乡村振兴和建设山清水秀美丽之地为目标，根据北碚区环境质量、自然条件、经济水平和农民期盼，科学确定整治目标任务，既尽力而为，又量力而行，集中力量解决突出环境问题。坚持从实际出发，采用适用的治理技术和模式，注重实效，不搞一刀切，不搞形式主义。</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b/>
        </w:rPr>
        <w:t>—</w:t>
      </w:r>
      <w:r>
        <w:rPr>
          <w:rFonts w:hint="eastAsia"/>
        </w:rPr>
        <w:t>—落实责任、形成合力。强化各级责任，区政府负总责、区级</w:t>
      </w:r>
      <w:r>
        <w:rPr>
          <w:rFonts w:hint="eastAsia"/>
          <w:lang w:eastAsia="zh-CN"/>
        </w:rPr>
        <w:t>有关</w:t>
      </w:r>
      <w:r>
        <w:rPr>
          <w:rFonts w:hint="eastAsia"/>
        </w:rPr>
        <w:t>部门与街镇落实。充分发挥市场主体作用，调动村委会等基层组织和农民的积极性，切实加强统筹协调，加大投入力度，强化监督考核，建立上下联动、部门协作、责权清晰、监管有效的工作推进机制。</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（三）行动目标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通过农业农村污染治理攻坚，乡村绿色发展加快推进，农村生态环境明显好转，农业农村污染治理工作体制机制基本形成，农业农村环境监管明显加强，农村居民参与农业农村环境保护的积极性和主动性显著增强。到2020年，实现“一保两治三减四提升”：“一保”，即保护农村饮用水水源，农村饮水安全更有保障；“两治”，即治理农村生活垃圾和污水，实现村庄环境干净整洁有序；“三减”，即减少化肥、农药使用量和农业用水总量；“四提升”，即提升主要由农业面源污染造成的超标水体水质、农业废弃物综合利用率、环境监管能力和农村居民参与度。</w:t>
      </w:r>
    </w:p>
    <w:p>
      <w:pPr>
        <w:pStyle w:val="3"/>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二、主要任务</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（一）加强农村饮用水水源保护</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b w:val="0"/>
          <w:bCs w:val="0"/>
        </w:rPr>
      </w:pPr>
      <w:r>
        <w:rPr>
          <w:rFonts w:hint="eastAsia"/>
          <w:b w:val="0"/>
          <w:bCs/>
        </w:rPr>
        <w:t>加快农村饮用水水源调查评估和保护区划定。加快开</w:t>
      </w:r>
      <w:r>
        <w:rPr>
          <w:rFonts w:hint="eastAsia"/>
        </w:rPr>
        <w:t>展农村饮用水水源环境状况调查评估和保护区的划定，2020年底前，完成供水人口在10000人或日供水1000吨以上的饮用水水源调查评估、保护区划定、水源地规范化建设工作；基本完成供水人口在1000人以上的农村集中式饮用水水源保护区划定，设立保护区界标、交通警示牌和宣传牌等标志。加强集中式饮用水水源保护区管理，依法清理保护区内违法建筑和排污口，到2020年，乡镇集中式饮用水水源地水质达标率达到86%以上。加强饮用水水源保护宣传教育，引导村民参与农村饮用水水源保护，将饮用水水源保护要求和村民应承担的保护责任纳入村规民约。（牵头部门：区</w:t>
      </w:r>
      <w:r>
        <w:rPr>
          <w:rFonts w:hint="eastAsia"/>
          <w:b w:val="0"/>
          <w:bCs w:val="0"/>
        </w:rPr>
        <w:t>生态环境局，参与部门：区水利局、各街镇）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b w:val="0"/>
          <w:bCs w:val="0"/>
        </w:rPr>
        <w:t>加强农村饮用水水质监测。对农村饮用</w:t>
      </w:r>
      <w:r>
        <w:rPr>
          <w:rFonts w:hint="eastAsia"/>
        </w:rPr>
        <w:t>水水源、供水单位、用户龙头水出水水质等饮用水安全状况进行监测和评估，并向社会公开饮用水安全状况信息。推进农村饮水安全巩固提升工程，加强农村饮用水取水、制水、供水水质全过程监管，落实水源保护、工程建设、水质监测检测“三同时”制度，到2</w:t>
      </w:r>
      <w:r>
        <w:t>020</w:t>
      </w:r>
      <w:r>
        <w:rPr>
          <w:rFonts w:hint="eastAsia"/>
        </w:rPr>
        <w:t>年，农村供水保证率达到9</w:t>
      </w:r>
      <w:r>
        <w:t>0</w:t>
      </w:r>
      <w:r>
        <w:rPr>
          <w:rFonts w:hint="eastAsia"/>
        </w:rPr>
        <w:t>%以上。加强农村饮用水水源监测，供水人口在10000人或日供水1000吨以上的饮用水水源每季度监测一次，供水人口在1000人以上的农村集中式饮用水水源每年监测一次。提升农村饮用水水源信息化监管水平，建立农村饮用水水源信息管理系统，2020年底前配合市生态环境局建立完成供水人口在1000人以上的农村集中式饮用水水源地环境信息管理平台建设。（牵头部门：区生态环境局、区水利局、区卫生健康委、区城管局、各街镇</w:t>
      </w:r>
      <w:r>
        <w:rPr>
          <w:rFonts w:hint="eastAsia"/>
          <w:color w:val="000000"/>
        </w:rPr>
        <w:t>）</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b/>
        </w:rPr>
      </w:pPr>
      <w:r>
        <w:rPr>
          <w:rFonts w:hint="eastAsia"/>
          <w:b w:val="0"/>
          <w:bCs/>
          <w:color w:val="000000"/>
        </w:rPr>
        <w:t>开展农村饮用水水源环境风险排查整治。以供</w:t>
      </w:r>
      <w:r>
        <w:rPr>
          <w:rFonts w:hint="eastAsia"/>
          <w:color w:val="000000"/>
        </w:rPr>
        <w:t>水人口在1</w:t>
      </w:r>
      <w:r>
        <w:rPr>
          <w:color w:val="000000"/>
        </w:rPr>
        <w:t>0000</w:t>
      </w:r>
      <w:r>
        <w:rPr>
          <w:rFonts w:hint="eastAsia"/>
          <w:color w:val="000000"/>
        </w:rPr>
        <w:t>人或日供水1</w:t>
      </w:r>
      <w:r>
        <w:rPr>
          <w:color w:val="000000"/>
        </w:rPr>
        <w:t>000</w:t>
      </w:r>
      <w:r>
        <w:rPr>
          <w:rFonts w:hint="eastAsia"/>
          <w:color w:val="000000"/>
        </w:rPr>
        <w:t>吨以上的饮用水水源地保护区为重点，对可能影响农村饮用水水源环境安全的化工、造纸、冶炼、制药等风</w:t>
      </w:r>
      <w:r>
        <w:rPr>
          <w:rFonts w:hint="eastAsia"/>
        </w:rPr>
        <w:t>险源和生活污水垃圾、畜禽养殖等风险源进行排查；清理集中式饮用水水源保护区内违法建筑和排污口，保护区内禁止任何形式的经营类行为，货运码头、餐饮船舶应取缔或迁出。对水质不能稳定达标的水源，采取水源更换、集中供水、污染治理等措施，确保农村饮水安全。（牵头部门：区生态环境局，参与部门：区农业农村委、区城管局、区水利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（二）加快推进农村生活垃圾治理</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highlight w:val="yellow"/>
        </w:rPr>
      </w:pPr>
      <w:r>
        <w:rPr>
          <w:rFonts w:hint="eastAsia"/>
        </w:rPr>
        <w:t>加强农村生活垃圾治理。按照“户集、村收、街镇转运、区处理”模式，提高生活垃圾收集率。根据“因地制宜、每街镇一方案”的原则，建立健全“有完备的设施设备、有成熟的治理技术、有稳定的保洁队伍、有完善的监管制度、有长效的资金保障”等“五有”生活垃圾收运处置体系。严格落实《北碚区农村人居环境整治村庄清洁行动检查评分办法》，完善村保洁制度，根据村人口规模、村域范围、聚居程度等，建立稳定的保洁队伍和专业清运队伍，确保农村生活垃圾定点收集、定时清运、无害化处理和资源化利用保持村内环境整洁。到2020年，实现全区农村生活垃圾处置体系全覆盖，</w:t>
      </w:r>
      <w:r>
        <w:rPr>
          <w:rFonts w:hint="eastAsia"/>
          <w:szCs w:val="32"/>
        </w:rPr>
        <w:t>农村生活垃圾有效治理比例达</w:t>
      </w:r>
      <w:r>
        <w:rPr>
          <w:szCs w:val="32"/>
        </w:rPr>
        <w:t>100</w:t>
      </w:r>
      <w:r>
        <w:rPr>
          <w:rFonts w:hint="eastAsia"/>
          <w:szCs w:val="32"/>
        </w:rPr>
        <w:t>%；</w:t>
      </w:r>
      <w:r>
        <w:rPr>
          <w:rFonts w:hint="eastAsia"/>
        </w:rPr>
        <w:t>全面巩固治理成果，不断提升治理成效，实施农村生活垃圾治理巩固成果村</w:t>
      </w:r>
      <w:r>
        <w:t>75</w:t>
      </w:r>
      <w:r>
        <w:rPr>
          <w:rFonts w:hint="eastAsia"/>
        </w:rPr>
        <w:t>个。</w:t>
      </w:r>
      <w:r>
        <w:rPr>
          <w:rFonts w:hint="eastAsia"/>
          <w:szCs w:val="32"/>
        </w:rPr>
        <w:t>（牵头部门：区城管局、区农业农村委，参与部门：区生态环境局、区财政局、各街镇）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推进农村生活垃圾分类和资源化利用。建立健全保洁、收运、处理的治理体系，采取积极稳妥、切合实际的措施，逐步推进生活垃圾分类。推行简便易行的农村生活垃圾分类方式，实现生活垃圾就地分类、源头减量和资源化利用。完善再生资源回收体系，推进可回收垃圾资源化利用。到2</w:t>
      </w:r>
      <w:r>
        <w:t>020</w:t>
      </w:r>
      <w:r>
        <w:rPr>
          <w:rFonts w:hint="eastAsia"/>
        </w:rPr>
        <w:t>年底前，全区建成农村生活垃圾分类示范村</w:t>
      </w:r>
      <w:r>
        <w:t>15</w:t>
      </w:r>
      <w:r>
        <w:rPr>
          <w:rFonts w:hint="eastAsia"/>
        </w:rPr>
        <w:t>个，农村生活垃圾分类示范工作取得明显成效。（牵头部门：区城管局，参与部门：区农业农村委、区商务局、各街镇）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szCs w:val="32"/>
        </w:rPr>
      </w:pPr>
      <w:r>
        <w:rPr>
          <w:rFonts w:hint="eastAsia"/>
        </w:rPr>
        <w:t>开展非正规垃圾堆放点整治。对农村生活垃圾、建筑垃圾、漂浮垃圾和一般工业固废垃圾等非正规垃圾堆放点的垃圾数量、成分构成、污染状况、所处位置、风险等级等因素进行综合考虑，尽量采取就地简易封场、规范封场、搬迁处理以及垃圾综合利用等方式，消除非正规垃圾堆放点带来的不利环境影响</w:t>
      </w:r>
      <w:r>
        <w:rPr>
          <w:rFonts w:hint="eastAsia"/>
          <w:szCs w:val="32"/>
        </w:rPr>
        <w:t>。</w:t>
      </w:r>
      <w:r>
        <w:rPr>
          <w:rFonts w:hint="eastAsia"/>
        </w:rPr>
        <w:t>做好农村非正规垃圾堆放点日常监管工作，巩固整治成果，严防出现新的农村非正规生活垃圾堆放点。</w:t>
      </w:r>
      <w:r>
        <w:rPr>
          <w:rFonts w:hint="eastAsia"/>
          <w:szCs w:val="32"/>
        </w:rPr>
        <w:t>（牵头部门：区城管局，参与部门：区农业农村委、区生态环境局、区住房城乡建委、各街镇）</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（三）加快推进农村生活污水治理</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szCs w:val="32"/>
        </w:rPr>
      </w:pPr>
      <w:r>
        <w:rPr>
          <w:rFonts w:hint="eastAsia"/>
        </w:rPr>
        <w:t>推广适宜农村生活污水治理技术和模式。全面</w:t>
      </w:r>
      <w:r>
        <w:rPr>
          <w:rFonts w:hint="eastAsia"/>
          <w:szCs w:val="32"/>
        </w:rPr>
        <w:t>执行《农村生活污水集中处理设施水污染物排放标准》（DB50/848-2018）。</w:t>
      </w:r>
      <w:r>
        <w:rPr>
          <w:szCs w:val="32"/>
        </w:rPr>
        <w:t>按照集中治理与分散治理相结合、工程措施与生态措施相结合、达标排放与综合利用相结合的原则，</w:t>
      </w:r>
      <w:r>
        <w:rPr>
          <w:rFonts w:hint="eastAsia"/>
          <w:szCs w:val="32"/>
        </w:rPr>
        <w:t>筛选农村生活污水治理实用技术和设施设备，推广适合本地区条件的低成本、低能耗、高效率、易维护的污水治理技术和模式。推动城镇污水处理设施和服务向农村延伸，鼓励小型聚居点和散居农户采用人工湿地、生物塘、农村改厕、户用沼气、化粪池以及储粪还田等多种形式治理分散污水，按照“群众接受、经济适用、维护方便、不污染公共水体”的要求，</w:t>
      </w:r>
      <w:r>
        <w:rPr>
          <w:szCs w:val="32"/>
        </w:rPr>
        <w:t>合理选择确定无害化卫生厕所的类型与实施技术</w:t>
      </w:r>
      <w:r>
        <w:rPr>
          <w:rFonts w:hint="eastAsia"/>
          <w:szCs w:val="32"/>
        </w:rPr>
        <w:t>。（牵头部门：区生态环境局，参与部门：区农业农村委、区城管局、区住房城乡建委、区卫生健康委、各街镇）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szCs w:val="32"/>
        </w:rPr>
      </w:pPr>
      <w:r>
        <w:rPr>
          <w:rFonts w:hint="eastAsia"/>
        </w:rPr>
        <w:t>持续推进厕所革命</w:t>
      </w:r>
      <w:r>
        <w:rPr>
          <w:rFonts w:hint="eastAsia"/>
          <w:szCs w:val="32"/>
        </w:rPr>
        <w:t>，持续开展农村户厕改造，同时以学校、卫生室、便民服务中心、商业网点、交易市场、交通集散点和旅游线路沿线等人口较集中的公共区域为重点，加强农村公厕的新建和改建。到2</w:t>
      </w:r>
      <w:r>
        <w:rPr>
          <w:szCs w:val="32"/>
        </w:rPr>
        <w:t>020</w:t>
      </w:r>
      <w:r>
        <w:rPr>
          <w:rFonts w:hint="eastAsia"/>
          <w:szCs w:val="32"/>
        </w:rPr>
        <w:t>年，完成农村户厕改造，并治理厕所粪污</w:t>
      </w:r>
      <w:r>
        <w:rPr>
          <w:szCs w:val="32"/>
        </w:rPr>
        <w:t>8800</w:t>
      </w:r>
      <w:r>
        <w:rPr>
          <w:rFonts w:hint="eastAsia"/>
          <w:szCs w:val="32"/>
        </w:rPr>
        <w:t>户，新建</w:t>
      </w:r>
      <w:r>
        <w:rPr>
          <w:szCs w:val="32"/>
        </w:rPr>
        <w:t>20</w:t>
      </w:r>
      <w:r>
        <w:rPr>
          <w:rFonts w:hint="eastAsia"/>
          <w:szCs w:val="32"/>
        </w:rPr>
        <w:t>座无害化公厕，农村卫生厕所普及率达到9</w:t>
      </w:r>
      <w:r>
        <w:rPr>
          <w:szCs w:val="32"/>
        </w:rPr>
        <w:t>5</w:t>
      </w:r>
      <w:r>
        <w:rPr>
          <w:rFonts w:hint="eastAsia"/>
          <w:szCs w:val="32"/>
        </w:rPr>
        <w:t>%。（牵头部门：区卫生健康委，参与部门：区农业农村委、各街镇）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梯次推进农村生活污水治理。优先治理饮用水水源保护区、自然保护区、重要生态功能区等环境敏感区域、水环境问题突出区域的农村生活污水，重点整治沿高速两旁、沿嘉陵江两岸、沿旅游景区周边以及沿城郊环线等区域的农村生活污水问题，有序推进其他区域农村生活污水治理，污水乱排乱放现象得到有效管控。到2</w:t>
      </w:r>
      <w:r>
        <w:t>019</w:t>
      </w:r>
      <w:r>
        <w:rPr>
          <w:rFonts w:hint="eastAsia"/>
        </w:rPr>
        <w:t>年，</w:t>
      </w:r>
      <w:r>
        <w:rPr>
          <w:szCs w:val="32"/>
        </w:rPr>
        <w:t>建设</w:t>
      </w:r>
      <w:r>
        <w:rPr>
          <w:rFonts w:hint="eastAsia"/>
          <w:szCs w:val="32"/>
        </w:rPr>
        <w:t>镇级</w:t>
      </w:r>
      <w:r>
        <w:rPr>
          <w:szCs w:val="32"/>
        </w:rPr>
        <w:t>污水管网5公里</w:t>
      </w:r>
      <w:r>
        <w:rPr>
          <w:rFonts w:hint="eastAsia"/>
          <w:szCs w:val="32"/>
        </w:rPr>
        <w:t>，2</w:t>
      </w:r>
      <w:r>
        <w:rPr>
          <w:szCs w:val="32"/>
        </w:rPr>
        <w:t>020</w:t>
      </w:r>
      <w:r>
        <w:rPr>
          <w:rFonts w:hint="eastAsia"/>
          <w:szCs w:val="32"/>
        </w:rPr>
        <w:t>年农村生活污水处理率达到</w:t>
      </w:r>
      <w:r>
        <w:rPr>
          <w:szCs w:val="32"/>
        </w:rPr>
        <w:t>80</w:t>
      </w:r>
      <w:r>
        <w:rPr>
          <w:rFonts w:hint="eastAsia"/>
          <w:szCs w:val="32"/>
        </w:rPr>
        <w:t>%以上。（牵头部门：区生态环境局、区住房城乡建委，参与部门：区农业农村委、</w:t>
      </w:r>
      <w:r>
        <w:rPr>
          <w:rFonts w:hint="eastAsia"/>
        </w:rPr>
        <w:t>各街镇</w:t>
      </w:r>
      <w:r>
        <w:rPr>
          <w:rFonts w:hint="eastAsia"/>
          <w:szCs w:val="32"/>
        </w:rPr>
        <w:t>）</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建立农村生活污水处理长效机制。将农村水环境治理纳入河长制管理，实行农村生活污水处理设施统一规划、统一建设、统一管理，建立农村生活污水处理长效运管机制。新建农村居民点应同步规划、建设生活污水处理设施。探索</w:t>
      </w:r>
      <w:r>
        <w:t>农村</w:t>
      </w:r>
      <w:r>
        <w:rPr>
          <w:rFonts w:hint="eastAsia"/>
        </w:rPr>
        <w:t>生活</w:t>
      </w:r>
      <w:r>
        <w:t>污水</w:t>
      </w:r>
      <w:r>
        <w:rPr>
          <w:rFonts w:hint="eastAsia"/>
        </w:rPr>
        <w:t>处理</w:t>
      </w:r>
      <w:r>
        <w:t>第三方</w:t>
      </w:r>
      <w:r>
        <w:rPr>
          <w:rFonts w:hint="eastAsia"/>
        </w:rPr>
        <w:t>建设</w:t>
      </w:r>
      <w:r>
        <w:t>，</w:t>
      </w:r>
      <w:r>
        <w:rPr>
          <w:rFonts w:hint="eastAsia"/>
        </w:rPr>
        <w:t>推进</w:t>
      </w:r>
      <w:r>
        <w:t>农村</w:t>
      </w:r>
      <w:r>
        <w:rPr>
          <w:rFonts w:hint="eastAsia"/>
        </w:rPr>
        <w:t>生活</w:t>
      </w:r>
      <w:r>
        <w:t>污水</w:t>
      </w:r>
      <w:r>
        <w:rPr>
          <w:rFonts w:hint="eastAsia"/>
        </w:rPr>
        <w:t>处理市场化运营管理。（牵头部门：区生态环境局，参与部门：区住房城乡建委、区城管局、区规划自然资源局、区农业农村委）</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（四）着力解决养殖业污染</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强化畜禽养殖区域管理。严格执行北碚区畜禽禁养区、限养区的相关管理规定，全面贯彻落实《</w:t>
      </w:r>
      <w:bookmarkStart w:id="1" w:name="_Hlk2877387"/>
      <w:r>
        <w:t>重庆市北碚区人民政府办公室关于印发北碚区畜禽养殖禁养区划定调整方案的通知</w:t>
      </w:r>
      <w:bookmarkEnd w:id="1"/>
      <w:r>
        <w:rPr>
          <w:rFonts w:hint="eastAsia"/>
        </w:rPr>
        <w:t>》（北碚府办发〔2018〕111号）（以下简称“禁养区划定方案”）的相关要求，加强畜禽养殖区域管理，实行严格管控，明确地理边界、坐标，将畜禽养殖禁养区落地、上图、入库，使禁养区划定方案成为畜禽养殖项目用地规划、环评审批、行政执法的依据之一。（牵头部门：区农业农村委、区生态环境局，参与部门：各街镇）</w:t>
      </w:r>
      <w:r>
        <w:t xml:space="preserve"> </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推进养殖生产清洁化和产业模式生态化。推进畜禽养殖标准化示范创建升级，带动畜牧业绿色可持续发展。实施畜禽养殖清洁生产管理，推广节水、节料等清洁养殖工艺和干清粪、微生物发酵等实用技术，实现源头减量。严禁在禁养区内从事畜禽养殖等污染水体的行为。严格规范兽药、饲料添加剂的生产和使用，严厉打击生产企业违法违规使用兽用抗菌药物的行为。（牵头部门：区农业农村委，参与部门：区市场监管局、区科技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加强畜禽粪</w:t>
      </w:r>
      <w:bookmarkStart w:id="2" w:name="_Hlk2936030"/>
      <w:r>
        <w:rPr>
          <w:rFonts w:hint="eastAsia"/>
        </w:rPr>
        <w:t>污资源化利用</w:t>
      </w:r>
      <w:bookmarkEnd w:id="2"/>
      <w:r>
        <w:rPr>
          <w:rFonts w:hint="eastAsia"/>
        </w:rPr>
        <w:t>和污染防治配套设施建设。各街镇对本行政区域内的畜禽养殖粪污资源化利用工作负总责，要结合本地实际，明确职责，健全工作机制，细化工作分工，加大资金投入，完善政策措施，强化日常监管，按照“一场一策、一场一档”的原则和全区畜禽养殖废弃物资源化利用实施计划的要求，完成本辖区 20 头生猪当量以上的畜禽养殖场（户）的畜禽养殖废弃物资源化利用整治任务。区农业农村委、区生态环境局要按照各自职责将全区畜禽规模养殖场、养殖专业户信息录入重庆市畜禽养殖环保基础信息系统，加强畜禽养殖粪污资源化利用考核。推进畜禽养殖污染防治配套设施建设，着力提升畜禽粪污综合利用率和规模养殖场粪污处理设施装备配套率。畜禽养殖废弃物综合利用率达到</w:t>
      </w:r>
      <w:r>
        <w:t>75%</w:t>
      </w:r>
      <w:r>
        <w:rPr>
          <w:rFonts w:hint="eastAsia"/>
        </w:rPr>
        <w:t>以上，规模养殖场粪污处理设施装备配套率达到100%。（牵头部门：区农业农村委，参与部门：区生态环境局、各街镇）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加强畜禽养殖环境监管。加强禁养区执法，将规模以上畜禽养殖场纳入重点污染源管理。严格落实畜禽规模养殖环境影响评价制度和排污许可制度，对“未批先建”、“批建不符”、无证排污或不按证排污等环境违法行为，加大查处力度。严格执行畜禽养殖污染物减排核算制度，将符合有关标准和要求的还田量作为统计污染物削减的重要依据。加强对畜禽养殖场粪污处理记录、运输和资源化利用等情况的检查，防止粪污偷运偷排。配合市农业农村委完善畜禽养殖场直联直报信息系统，构建统一管理、分级使用、共享直联的管理平台。（牵头部门：区农业农村委、区生态环境局，参与部门：区科技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构建种养循环发展机制。各限养区街镇要严格按照我区畜禽养殖的有关规定，实行养殖业总体控制、以地定畜，促进种养业布局协调，不新建或扩建养殖场。有条件的街镇建设畜禽粪污、农业有机废弃物收集、转化、利用网络体系，鼓励在养殖密集区域建立粪污集中处理中心。鼓励、引导沼液和经无害化处理的畜禽养殖废水作为肥料还田利用，通过支持在田间地头配套建设管网和储粪池（液）等方式，解决粪肥还田“最后一公里”问题。推动以畜禽粪污为主要原料的沼气工程建设。支持采取政府和社会资本合作（PPP）模式，培育壮大多种类型的粪污处理社会化服务组织，探索建立受益者付费机制，开展专业化生产、市场化运营，逐步形成畜禽粪污处理全产业链。到 2020年，建立科学规范、权责清晰、约束有力的畜禽养殖废弃物资源化利用制度，构建种养循环发展机制。（牵头部门：区农业农村委，参与部门：区发展改革委、区财政局、区生态环境局）</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加强水产养殖污染防治和水生生态保护。严格执行北碚区水产养殖“三区划定”的相关管理规定，禁止养殖区域内重点生态功能区和公共设施安全区域划定前已有的水产规模场，由本级人民政府及相关部门负责限期搬迁或关停，搬迁或关停造成养殖生产者经济损失的应依法给予补偿，并妥善安置养殖渔民生产生活。禁止在重点湖泊水库等公共自然水域开展网箱围栏养殖；在限制养殖区域内进行水产养殖的应采取污染防治措施，污染物排放不得超过国家和地方规定的污染物排放标准。养殖区内符合规划的养殖项目，应当科学确定养殖密度，合理投饵、使用药物，防止造成水域的环境污染；江河湖库以及三峡库区 175 米水位淹没区内禁止采用网箱及投放化肥、粪便、动物尸体（肢体、内脏）、动物源性饲料等污染水体的方式从事水产养殖；推进水产生态健康养殖，实施水产养殖池塘标准化改造。加强水生生态保护，开展专项整治，禁止使用农药及其他有毒物毒杀、捕捞水生生物。加强水生生物资源养护，严格对涉水工程的管理，落实生态补偿措施，降低涉水工程对水生生态环境的影响。推进嘉陵江北碚段渔民退捕转产，实施渔业资源增殖放流，严格执行禁渔期管理制度，保护天然流域渔业资源。加强水生物多样性保护，实施重点水域生态修复、珍稀濒危物种拯救与救护等工作。（牵头部门：区农业农村委，参与部门：区生态环境局、区规划自然资源局、区水利局、区财政局）</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（五）有效防控种植业污染</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实施化肥减量增效行动。按照“增产施肥、经济施肥、环保施肥”的理念，生产与生态统筹，重点突破与整体推进相结合，深入推进科学施肥，加快施肥方式转变，加强耕地质量监测，减少不合理化肥投入。一是继续推广测土配方施肥技术。深化完善测土配方施肥指标体系，推进测土配方施肥技术向薯类、豆类、杂粮和园艺作物倾斜。二是开展有机肥替代化肥行动。围绕粮、果、菜等农作物，开展有机肥替代化肥行动。稳步增加秸秆还田面积、绿肥栽培面积和有机肥应用面积。积极探索有机肥推广应用的长效机制。三是大力推行耕地地力综合培肥。依据耕地地力评价成果，积极推广有机质提升、保肥能力提高等综合培肥技术。四是加大化肥减量试验示范。加强资源整合，加大化肥减量示范区（片）建设。以示范区（片）为平台，加强协作攻关，集成推广化肥减量增效技术，并强化化肥减量技术创新，加大高效新型肥料示范推广力度。五是加快推进施肥方式转变。因地制宜推广化肥机械深施、机械追肥、种肥同播等技术，减少养分挥发和流失。推广水肥一体化技术，提高肥料和水资源利用效率。到2</w:t>
      </w:r>
      <w:r>
        <w:t>020</w:t>
      </w:r>
      <w:r>
        <w:rPr>
          <w:rFonts w:hint="eastAsia"/>
        </w:rPr>
        <w:t>年，主要农作物化肥使用量实现负增长，化肥利用率达到40%以上，测土配方施肥技术推广覆盖率达到93%。（牵头部门：区农业农村委，参与部门：区科技局、各街镇）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实施农药减量增效行动。继续在“控、替、精、统”上下功夫，坚持综合治理、标本兼治。一是大力推进绿色防控，推广以物理防治、生物防治、生态调控为主的绿色防控技术模式，扩大绿色防控覆盖范围。二是大力推进统防统治，充分发挥植保专业化服务组织、种植大户推广农药减量控害技术的中介桥梁和引领示范作用。三是大力推广高效农药械，推广高效低毒低残留、低用量农药及生物农药，实现农药减量控害，保障农业生产安全、农产品质量安全和生态环境安全。四是加力推进示范带动。继续推进全区绿色防控和统防统治示范片建设，大力宣传展示示范成效，注重示范片的示范和辐射带动作用。到2</w:t>
      </w:r>
      <w:r>
        <w:t>020</w:t>
      </w:r>
      <w:r>
        <w:rPr>
          <w:rFonts w:hint="eastAsia"/>
        </w:rPr>
        <w:t>年，农药利用率达到40%以上，主要农作物绿色防控覆盖率达30%。</w:t>
      </w:r>
      <w:bookmarkStart w:id="3" w:name="_Hlk2937173"/>
      <w:r>
        <w:rPr>
          <w:rFonts w:hint="eastAsia"/>
        </w:rPr>
        <w:t>（牵头部门：区农业农村委，参与部门：区市场监管局、区科技局、各街镇）</w:t>
      </w:r>
    </w:p>
    <w:bookmarkEnd w:id="3"/>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加强农作物秸秆资源化利用。严格落实北碚区秸秆禁焚及综合利用管理</w:t>
      </w:r>
      <w:r>
        <w:rPr>
          <w:rFonts w:hint="eastAsia"/>
          <w:lang w:eastAsia="zh-CN"/>
        </w:rPr>
        <w:t>有关规定</w:t>
      </w:r>
      <w:r>
        <w:rPr>
          <w:rFonts w:hint="eastAsia"/>
        </w:rPr>
        <w:t>，指导各街镇开展秸秆禁焚及综合利用。加强秸秆露天禁烧宣传，强化执法检查，建立区级、街镇、村社三级秸秆禁烧工作责任制和督查问责机制。实施秸秆机械粉碎还田、保护性耕作、快速腐熟还田、堆沤还田以及生物反应，实现秸秆肥料化、饲料化等综合利用，结合土壤有机质提升、化肥减量化等行动，开展秸秆综合利用试点示范。到2020年，基本形成布局合理、多元利用的格局，农作物秸秆综合利用率达到85%。（牵头部门：区农业农村委，参与部门：区生态环境局、区发展改革委、区财政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加快推进废弃农膜和农业投入品包装物资源化利用。严格执行农膜使用标准和技术规范，打击非法生产、销售不合格农膜行为。加快标准地膜推广应用，推广使用厚度0</w:t>
      </w:r>
      <w:r>
        <w:t>.01mm</w:t>
      </w:r>
      <w:r>
        <w:rPr>
          <w:rFonts w:hint="eastAsia"/>
        </w:rPr>
        <w:t>以上农膜和可降解地膜，从源头保证农田残膜可回收。建立废弃农膜和农业投入品包装废弃物回收利用制度，探索"谁生产、谁使用、谁回收"的回收责任管理机制，加快废弃农膜回收利用网络建设，形成涉农街镇有回收站点、区有储运中心、区域加工利用的回收利用体系。到2</w:t>
      </w:r>
      <w:r>
        <w:t>020</w:t>
      </w:r>
      <w:r>
        <w:rPr>
          <w:rFonts w:hint="eastAsia"/>
        </w:rPr>
        <w:t>年，全区农膜回收利用率保持在80%。（牵头部门：区供销联社，参与部门：区农业农村委、区科技局、区经济信息委、区公安分局、区市场监管局、各街镇）</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大力推进种植业产业模式生态化。聚焦农产品市场需求，在品种优化、品质提升、品牌引领上下功夫，加快形成绿色化、优质化、特色化、品牌化的农产品供给体系。着力加强优势特色农产品品种研</w:t>
      </w:r>
      <w:r>
        <w:t>发，重点培育蔬菜、林果、花木、生态渔业等特色产业；完善农业科研评价机制，探索开展农业科研“后补助”试点；支持新型农业经营主体开展无公害农产品、绿色食品、有机农产品和农产品地理标志“三品一标”认证</w:t>
      </w:r>
      <w:r>
        <w:rPr>
          <w:rFonts w:hint="eastAsia"/>
        </w:rPr>
        <w:t>；</w:t>
      </w:r>
      <w:r>
        <w:t>推动农村一二三产业融合发展，发挥北碚区生态资源优势，发展生态旅游、观光休闲农业。到2020年，农业投入品监管达到市级和国家标准，有效期内“三品一标”达80个</w:t>
      </w:r>
      <w:r>
        <w:rPr>
          <w:rFonts w:hint="eastAsia"/>
        </w:rPr>
        <w:t>以上，“三品一标”产值占比提高40%以上。</w:t>
      </w:r>
      <w:r>
        <w:t>（</w:t>
      </w:r>
      <w:r>
        <w:rPr>
          <w:rFonts w:hint="eastAsia"/>
        </w:rPr>
        <w:t>牵头部门</w:t>
      </w:r>
      <w:r>
        <w:t>：区</w:t>
      </w:r>
      <w:r>
        <w:rPr>
          <w:rFonts w:hint="eastAsia"/>
        </w:rPr>
        <w:t>农业农村委，参与部门</w:t>
      </w:r>
      <w:r>
        <w:t>：区林业局、区</w:t>
      </w:r>
      <w:r>
        <w:rPr>
          <w:rFonts w:hint="eastAsia"/>
        </w:rPr>
        <w:t>文</w:t>
      </w:r>
      <w:r>
        <w:rPr>
          <w:rFonts w:hint="eastAsia"/>
          <w:lang w:val="en-US" w:eastAsia="zh-CN"/>
        </w:rPr>
        <w:t>化</w:t>
      </w:r>
      <w:r>
        <w:rPr>
          <w:rFonts w:hint="eastAsia"/>
        </w:rPr>
        <w:t>旅</w:t>
      </w:r>
      <w:r>
        <w:rPr>
          <w:rFonts w:hint="eastAsia"/>
          <w:lang w:val="en-US" w:eastAsia="zh-CN"/>
        </w:rPr>
        <w:t>游</w:t>
      </w:r>
      <w:r>
        <w:rPr>
          <w:rFonts w:hint="eastAsia"/>
        </w:rPr>
        <w:t>委、</w:t>
      </w:r>
      <w:r>
        <w:t>区</w:t>
      </w:r>
      <w:r>
        <w:rPr>
          <w:rFonts w:hint="eastAsia"/>
        </w:rPr>
        <w:t>科技局</w:t>
      </w:r>
      <w:r>
        <w:t>、区商务</w:t>
      </w:r>
      <w:r>
        <w:rPr>
          <w:rFonts w:hint="eastAsia"/>
        </w:rPr>
        <w:t>委</w:t>
      </w:r>
      <w:r>
        <w:t>、区财政局、区</w:t>
      </w:r>
      <w:r>
        <w:rPr>
          <w:rFonts w:hint="eastAsia"/>
        </w:rPr>
        <w:t>市场监管局</w:t>
      </w:r>
      <w:r>
        <w:t>、区发展改革委</w:t>
      </w:r>
      <w:r>
        <w:rPr>
          <w:rFonts w:hint="eastAsia"/>
        </w:rPr>
        <w:t>、区规划自然资源局、各街镇</w:t>
      </w:r>
      <w:r>
        <w:t>）</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推进农业节水灌溉。加强农田水利设施建设，提升农田蓄水和灌溉能力，充分利用天然降水实现自然灌溉。发展节水农业，突出农艺节水和工程节水措施，因地制宜推广水肥（药）一体化技术。到2020 年，改善灌溉面积2 万亩，全面提高农业生产设施水平。实施重点水源建设和高效节水灌溉工程。优化水资源配置，着力解决工程性缺水问题，新建小一型水库1座，完成1 座中型水库扩建项目前期工作。坚持整治灌溉渠道，提高农业灌溉能力，农田有效灌溉面积供水保证率达75%，农田灌溉水有效利用系数达到0</w:t>
      </w:r>
      <w:r>
        <w:t>.511</w:t>
      </w:r>
      <w:r>
        <w:rPr>
          <w:rFonts w:hint="eastAsia"/>
        </w:rPr>
        <w:t>，有效减少农田退水对水体的污染。（牵头部门：区水利局、区农业农村委）</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实施耕地分类管理。加强土壤污染治理，详查土壤环境状况，查明农用地土壤污染面积、分布及其对农产品质量的影响。有序推进农用地土壤环境质量类别划定，2</w:t>
      </w:r>
      <w:r>
        <w:t>020</w:t>
      </w:r>
      <w:r>
        <w:rPr>
          <w:rFonts w:hint="eastAsia"/>
        </w:rPr>
        <w:t>年建立农用地分类清单，实行优先保护、安全利用、严格管控、禁止生产等分类管理，采取差异化的管控措施，保障全区农产品质量安全。制定并实施受污染耕地安全利用方案，开展受污染耕地风险管控，以粮油、蔬菜、水果基地为重点区域，合理利用轻中度污染耕地土壤生产功能，根据土壤污染状况和主要农作物种类、品种和农作制度等情况，推广低积累品种替代、水肥调控、土壤调理等农艺调控措施，阻断或者减少污染物和其他有毒有害物质进入农作物可食部分，降低农产品超标风险；对重度污染耕地严格用途管理，严禁种植食用农产品，及时采取农作物种植结构调整措施。制定实施重度污染耕地种植结构调整或退耕还林还草计划，完成市级下达耕地污染修复任务。以典型工矿企业周边农区、污水灌区、果蔬茶基地、地质元素高背景区等土壤污染高风险区为重点区域，2</w:t>
      </w:r>
      <w:r>
        <w:t>019</w:t>
      </w:r>
      <w:r>
        <w:rPr>
          <w:rFonts w:hint="eastAsia"/>
        </w:rPr>
        <w:t>年完成全区农产品禁止生产区划定工作方案的编制，并依靠长期的数据跟踪监测，逐步完善全区耕地农产品禁止生产区划定，逐步建成农产品禁止生产区管理体系。（牵头部门：区农业农村委，参与部门：区林业局、区生态环境局、区规划自然资源局）</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开展重金属重点行业企业排查整治。严格执行重庆市工业项目环境准入规定，全区禁止新建有色金属冶炼、钢铁、焦化、化工、铅酸蓄电池、电镀等重污染行业企业，禁止向涉重金属落后和过剩产能行业提供土地，新建涉重金属排放项目应在工业园区内选址建设；加强涉重金属行业污染防控，严格控制重金属污染物排放增量，进一步落实重金属风险防控措施，完成重点行业重点重金属减排项目和年度目标任务，确保重点重金属企业达标排放率100%、强制性清洁生产审核率 100%、无重金属突发环境事件和突发公共卫生事件发生。严厉打击涉重金属企业非法排污行为，切断污染物进入农田的途径。对难以有效切断重金属污染途径，且土壤重金属污染严重、农产品重金属超标问题突出的耕地，要及时划入严格管控类，实施严格管控措施，降低农产品重金属超标风险。（牵头部门：区生态环境局，参与部门：区农业农村委、区经济信息委）</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（六）提升农业农村环境监管能力</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严守生态保护红线。把生态保护红线作为编制空间规划的基础，严格强化用途管制。贯彻落实《重庆市生态保护红线管控办法》。按照全市统一部署，开展北碚区生态保护红线勘界定标，配合市生态环境局完成生态保护红线监管平台建设。建立生态保护红线数据库和台账系统，完善评估考核和补偿制度，建立健全对各区级部门、街镇及园区管委会的生态保护红线管控绩效评价制度，评价结果作为优化生态保护红线布局、安排生态保护补偿资金和重点生态功能区转移支付、对领导干部进行生态环境损害责任追究的重要依据。到2020 年，全面完成全区生态保护红线勘界定标工作，生态安全格局得到完善；生态保护红线内禁止城镇化和工业化活动，生态保护红线内现存的耕地不得擅自扩大规模。在嘉陵江及重要湖泊、重要河口的敏感区域内，严禁以任何形式围垦河湖、违法占用河湖水域，严格管控沿河环湖农业面源污染。（牵头部门</w:t>
      </w:r>
      <w:r>
        <w:rPr>
          <w:rFonts w:hint="eastAsia"/>
          <w:lang w:eastAsia="zh-CN"/>
        </w:rPr>
        <w:t>：</w:t>
      </w:r>
      <w:r>
        <w:rPr>
          <w:rFonts w:hint="eastAsia"/>
        </w:rPr>
        <w:t>区生态环境局，参与部门：区规划自然资源局、区农业农村委、区财政局、区发展改革委、区纪委监委、区委组织部）</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实施农业产业准入负面清单制度，针对农业资源与生态环境突出问题，建立农业产业准入负面清单制度，因地制宜制定禁止和限制发展产业目录，明确种植业、养殖业发展方向和开发强度，强化准入管理和底线约束。（牵头部门：区农业农村委，参与部门：区林业局、区规划自然资源局）</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强化农业农村生态环境监管执法。完善“区—部门—街镇—村”四级网格化监管网络，落实污染源属地监管职责，加强基层执法力量，强化网格间的联动机制，针对问题及时反馈处理，形成全覆盖的生态环保执法体系，切实有效保障辖区环境安全；通过对农村生态环境违法行为进行整治，加大违法行为的查处力度，保持打击生态环境违法高压态势，依法打击破坏农业生态环境的违法行为，提高违法成本和惩罚标准。畅通司法救济渠道，稳妥推进环境公益诉讼；编制《北碚区农村环境监测网络建设工作实施方案》，构建农业农村生态环境监测体系，结合现有环境监测网络和农村环境质量试点监测工作，加强对农村集中式饮用水水源、日处理能力20立方米及以上的农村生活污水处理设施出水和畜禽规模养殖场排污口的水质监测。推进土壤、水环境监测网络向街镇、村延伸，强化农产品集中区土壤环境质量监测、跨乡镇行政区域断面水环境质量监测，逐步实现农村生态环境监测全覆盖。做好北碚区第二次污染源普查，建立健全重点污染源档案、污染源信息数据库和环境统计平台，掌握各类污染源在农村的数量、结构和分布状况，为加强污染源监管、改善环境质量、服务环境与发展综合决策提供依据。（牵头部门：区生态环境局，区农业农村委，参与部门：区发展改革委、区法院、区检察院）</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pPr>
      <w:r>
        <w:rPr>
          <w:rFonts w:hint="eastAsia"/>
        </w:rPr>
        <w:t>落实街镇生态环境保护职责。加强街镇基层环保能力建设，落实街镇环保人员配置保障，每个街镇不得少于2名，实行乡镇环境员持证上岗制度，逐步实现乡镇环境员监测采样资格和环境执法资格全覆盖；以保护水资源、管控水岸线、防治水污染、改善水环境、修复水生态、实现水安全为主要任务，在全区河库全面推行河长制、库长制，构建责任明确、协调有序、监管严格、保护有力的河库管理保护机制；严格落实区级、街镇、村级三级乡村环境保护主体责任，深入推进领导干部自然资源资产离任审计等生态文明制度改革试点；切实落实“党政同责、一岗双责”和“终身追责”，推进北碚区党政领导干部生态环境损害责任追究制度建立，加大追责问责力度，对在街镇、村社工作中履行职责不力、失职渎职，造成区域生态环境严重损害的单位和个人，区级相关行政执法部门应及时将相关问题线索移送区纪委监委依纪依法严肃问责，对涉嫌违法犯罪的按程序移送司法机关处理；在各街镇重点推动生态环境损害赔偿制度，进一步明确农村生态环境损害赔偿范围、责任主体、索赔主体、损害赔偿解决途径等，建立损害赔偿磋商工作机制，规范农村生态环境损害鉴定评估工作，推动将农村环境损害鉴定纳入司法鉴定管理。（牵头部门：区生态环境局、区农业农村委，参与部门：区审计局、区统计局</w:t>
      </w:r>
      <w:r>
        <w:rPr>
          <w:rFonts w:hint="eastAsia"/>
          <w:lang w:eastAsia="zh-CN"/>
        </w:rPr>
        <w:t>、</w:t>
      </w:r>
      <w:r>
        <w:rPr>
          <w:rFonts w:hint="eastAsia"/>
        </w:rPr>
        <w:t>区纪委监委、区发展改革委、区住房城乡建委、区城管局、区水利局、区检察院、区法院）</w:t>
      </w:r>
    </w:p>
    <w:p>
      <w:pPr>
        <w:pStyle w:val="3"/>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三、保障措施</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（一）加强组织领导</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切实落实农业农村污染防治“一岗双责”，区级有关部门应密切配合，形成区农业农村委牵头，区生态环境局统一监督指导，区级有关部门信息共享、定期会商、督导评估、齐抓共管的工作格局。区级相关部门、街镇要把农业农村污染治理放在各项工作的重要位置，按照任务分解担负起本部门、本街镇的农业农村污染治理责任，把相关工作纳入重要议事日程，抓好部署推进，强化督促检查。</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rPr>
          <w:rFonts w:hint="eastAsia"/>
        </w:rPr>
      </w:pPr>
      <w:r>
        <w:rPr>
          <w:rFonts w:hint="eastAsia"/>
        </w:rPr>
        <w:t>（二）加强村民自治</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强化村委会在农业农村环境保护工作中协助推进垃圾污水治理和农业面源污染防治的责任。各部门要广泛开展农业农村污染治理宣传和教育，宣讲政策要求，开展技术帮扶。将农业农村环境保护纳入村规民约，建立农民参与生活垃圾分类、农业废弃物资源化利用的直接受益机制。引导农民保护自然环境，科学使用农药、肥料、农膜等农业投入品，合理处置畜禽粪污等农业废弃物。充分依托农业基层技术服务队伍，提供农业农村污染治理技术咨询和指导，推广绿色生产方式。贴近乡村群众生活开展生态环境保护宣传教育，设计制作环保公益宣传片和宣传画，加强乡村中小学生态环境保护教育，积极开展生态环境保护教育实践公益活动。开展生态环境保护示范村镇、乡村生态文明家庭、卫生家庭创建评选活动。推广绿色生活方式，形成家家参与、户户关心农村生态环境保护的良好氛围。</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rPr>
          <w:rFonts w:hint="eastAsia"/>
        </w:rPr>
      </w:pPr>
      <w:r>
        <w:rPr>
          <w:rFonts w:hint="eastAsia"/>
        </w:rPr>
        <w:t>（三）培育市场主体</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培育各种形式的专业化农业农村环境治理市场主体，采取城乡统筹、整区打包、建运一体等多种方式，推进政府购买环境服务，吸引第三方环保治理企业、农民专业合作社等参与农村生活垃圾、污水治理和农业面源污染治理。吸引第三方企业参与到乡村垃圾分类后端收集、处理处置过程中，扎实解决“前端分类后端混杂”的垃圾分类难题。探索农村生活污水处理第三方建设，推进农村生活污水处理市场化运营管理。</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rPr>
          <w:rFonts w:hint="eastAsia"/>
        </w:rPr>
      </w:pPr>
      <w:r>
        <w:rPr>
          <w:rFonts w:hint="eastAsia"/>
        </w:rPr>
        <w:t>（四）加大投入力度</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建立健全农业农村污染治理区级财政投入保障制度，加大涉农资金统筹整合力度，确保财政投入与农业农村污染治理目标任务相适。对纳入试点示范的街镇，由区级部门按部门职责投入适量引导经费，区财政给予一定配套支持经费，专项用于农业农村污染治理。依法落实国家乡村振兴、农村环境综合整治、环境保护等方面的税收优惠政策。</w:t>
      </w:r>
    </w:p>
    <w:p>
      <w:pPr>
        <w:pStyle w:val="11"/>
        <w:pageBreakBefore w:val="0"/>
        <w:widowControl w:val="0"/>
        <w:kinsoku/>
        <w:wordWrap/>
        <w:overflowPunct/>
        <w:topLinePunct w:val="0"/>
        <w:autoSpaceDE/>
        <w:autoSpaceDN/>
        <w:bidi w:val="0"/>
        <w:adjustRightInd/>
        <w:snapToGrid/>
        <w:spacing w:line="560" w:lineRule="exact"/>
        <w:ind w:left="640" w:right="0" w:rightChars="0"/>
        <w:textAlignment w:val="auto"/>
      </w:pPr>
      <w:r>
        <w:rPr>
          <w:rFonts w:hint="eastAsia"/>
        </w:rPr>
        <w:t>（五）强化监督考核</w:t>
      </w:r>
    </w:p>
    <w:p>
      <w:pPr>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rPr>
      </w:pPr>
      <w:r>
        <w:rPr>
          <w:rFonts w:hint="eastAsia"/>
        </w:rPr>
        <w:t>区政府将对工作推进情况进行督查</w:t>
      </w:r>
      <w:r>
        <w:rPr>
          <w:rFonts w:hint="eastAsia"/>
          <w:lang w:eastAsia="zh-CN"/>
        </w:rPr>
        <w:t>，对农业农村污染治理工作纳入经济社会发展实绩考核范畴，</w:t>
      </w:r>
      <w:r>
        <w:rPr>
          <w:rFonts w:hint="eastAsia"/>
        </w:rPr>
        <w:t>对造成严重污染问题、治理工作推进不力的部门及街镇进行严肃问责。</w:t>
      </w:r>
      <w:bookmarkEnd w:id="7"/>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after="120" w:line="240" w:lineRule="exact"/>
        <w:ind w:left="0" w:leftChars="0" w:right="0" w:rightChars="0" w:firstLine="0" w:firstLineChars="0"/>
        <w:jc w:val="both"/>
        <w:textAlignment w:val="auto"/>
        <w:outlineLvl w:val="9"/>
        <w:rPr>
          <w:rFonts w:hint="eastAsia"/>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0"/>
        <w:rPr>
          <w:rFonts w:hint="eastAsia" w:ascii="Times New Roman" w:hAnsi="Times New Roman"/>
          <w:color w:val="000000"/>
          <w:sz w:val="36"/>
          <w:szCs w:val="36"/>
        </w:rPr>
      </w:pPr>
      <w:r>
        <w:br w:type="page"/>
      </w:r>
      <w:r>
        <w:rPr>
          <w:rFonts w:hint="eastAsia" w:ascii="Times New Roman" w:hAnsi="Times New Roman"/>
          <w:color w:val="000000"/>
        </w:rPr>
        <w:t xml:space="preserve">附表1 </w:t>
      </w:r>
      <w:r>
        <w:rPr>
          <w:rFonts w:hint="eastAsia" w:ascii="Times New Roman" w:hAnsi="Times New Roman"/>
          <w:color w:val="000000"/>
          <w:lang w:val="en-US" w:eastAsia="zh-CN"/>
        </w:rPr>
        <w:t xml:space="preserve">  </w:t>
      </w:r>
      <w:r>
        <w:rPr>
          <w:rFonts w:hint="eastAsia" w:ascii="Times New Roman" w:hAnsi="Times New Roman"/>
          <w:color w:val="000000"/>
          <w:sz w:val="36"/>
          <w:szCs w:val="36"/>
        </w:rPr>
        <w:t>重庆市北碚区农业农村污染治理攻坚战行动计划</w:t>
      </w: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textAlignment w:val="auto"/>
        <w:outlineLvl w:val="0"/>
        <w:rPr>
          <w:sz w:val="36"/>
          <w:szCs w:val="36"/>
        </w:rPr>
      </w:pPr>
      <w:r>
        <w:rPr>
          <w:rFonts w:hint="eastAsia" w:ascii="Times New Roman" w:hAnsi="Times New Roman"/>
          <w:color w:val="000000"/>
          <w:sz w:val="36"/>
          <w:szCs w:val="36"/>
        </w:rPr>
        <w:t>实施方案目标分解表</w:t>
      </w:r>
    </w:p>
    <w:tbl>
      <w:tblPr>
        <w:tblStyle w:val="16"/>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79"/>
        <w:gridCol w:w="2359"/>
        <w:gridCol w:w="1532"/>
        <w:gridCol w:w="1298"/>
        <w:gridCol w:w="129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1179"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种类</w:t>
            </w:r>
          </w:p>
        </w:tc>
        <w:tc>
          <w:tcPr>
            <w:tcW w:w="2359"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指标名称</w:t>
            </w:r>
          </w:p>
        </w:tc>
        <w:tc>
          <w:tcPr>
            <w:tcW w:w="1532"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2017年现状值</w:t>
            </w:r>
          </w:p>
        </w:tc>
        <w:tc>
          <w:tcPr>
            <w:tcW w:w="1298"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2018年目标</w:t>
            </w:r>
          </w:p>
        </w:tc>
        <w:tc>
          <w:tcPr>
            <w:tcW w:w="1298"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2019年目标</w:t>
            </w:r>
          </w:p>
        </w:tc>
        <w:tc>
          <w:tcPr>
            <w:tcW w:w="1423" w:type="dxa"/>
            <w:noWrap w:val="0"/>
            <w:vAlign w:val="center"/>
          </w:tcPr>
          <w:p>
            <w:pPr>
              <w:adjustRightInd w:val="0"/>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sz w:val="21"/>
                <w:szCs w:val="21"/>
              </w:rPr>
              <w:t>1</w:t>
            </w:r>
          </w:p>
        </w:tc>
        <w:tc>
          <w:tcPr>
            <w:tcW w:w="1179" w:type="dxa"/>
            <w:noWrap w:val="0"/>
            <w:vAlign w:val="center"/>
          </w:tcPr>
          <w:p>
            <w:pPr>
              <w:adjustRightInd w:val="0"/>
              <w:snapToGrid w:val="0"/>
              <w:spacing w:line="300" w:lineRule="exact"/>
              <w:jc w:val="center"/>
              <w:rPr>
                <w:sz w:val="21"/>
                <w:szCs w:val="21"/>
              </w:rPr>
            </w:pPr>
            <w:r>
              <w:rPr>
                <w:sz w:val="21"/>
                <w:szCs w:val="21"/>
              </w:rPr>
              <w:t>饮用水水源保护</w:t>
            </w:r>
          </w:p>
        </w:tc>
        <w:tc>
          <w:tcPr>
            <w:tcW w:w="2359" w:type="dxa"/>
            <w:noWrap w:val="0"/>
            <w:vAlign w:val="center"/>
          </w:tcPr>
          <w:p>
            <w:pPr>
              <w:adjustRightInd w:val="0"/>
              <w:snapToGrid w:val="0"/>
              <w:spacing w:line="300" w:lineRule="exact"/>
              <w:jc w:val="center"/>
              <w:rPr>
                <w:sz w:val="21"/>
                <w:szCs w:val="21"/>
              </w:rPr>
            </w:pPr>
            <w:r>
              <w:rPr>
                <w:sz w:val="21"/>
                <w:szCs w:val="21"/>
              </w:rPr>
              <w:t>乡镇集中式饮用水源水质达标率（%）</w:t>
            </w:r>
          </w:p>
        </w:tc>
        <w:tc>
          <w:tcPr>
            <w:tcW w:w="1532"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sz w:val="21"/>
                <w:szCs w:val="21"/>
              </w:rPr>
              <w:t>85</w:t>
            </w:r>
          </w:p>
        </w:tc>
        <w:tc>
          <w:tcPr>
            <w:tcW w:w="1298" w:type="dxa"/>
            <w:noWrap w:val="0"/>
            <w:vAlign w:val="center"/>
          </w:tcPr>
          <w:p>
            <w:pPr>
              <w:adjustRightInd w:val="0"/>
              <w:snapToGrid w:val="0"/>
              <w:spacing w:line="300" w:lineRule="exact"/>
              <w:jc w:val="center"/>
              <w:rPr>
                <w:sz w:val="21"/>
                <w:szCs w:val="21"/>
              </w:rPr>
            </w:pPr>
            <w:r>
              <w:rPr>
                <w:sz w:val="21"/>
                <w:szCs w:val="21"/>
              </w:rPr>
              <w:t>86</w:t>
            </w:r>
          </w:p>
        </w:tc>
        <w:tc>
          <w:tcPr>
            <w:tcW w:w="1423" w:type="dxa"/>
            <w:noWrap w:val="0"/>
            <w:vAlign w:val="center"/>
          </w:tcPr>
          <w:p>
            <w:pPr>
              <w:adjustRightInd w:val="0"/>
              <w:snapToGrid w:val="0"/>
              <w:spacing w:line="300" w:lineRule="exact"/>
              <w:jc w:val="center"/>
              <w:rPr>
                <w:sz w:val="21"/>
                <w:szCs w:val="21"/>
              </w:rPr>
            </w:pPr>
            <w:r>
              <w:rPr>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sz w:val="21"/>
                <w:szCs w:val="21"/>
              </w:rPr>
              <w:t>2</w:t>
            </w:r>
          </w:p>
        </w:tc>
        <w:tc>
          <w:tcPr>
            <w:tcW w:w="1179" w:type="dxa"/>
            <w:noWrap w:val="0"/>
            <w:vAlign w:val="center"/>
          </w:tcPr>
          <w:p>
            <w:pPr>
              <w:adjustRightInd w:val="0"/>
              <w:snapToGrid w:val="0"/>
              <w:spacing w:line="300" w:lineRule="exact"/>
              <w:jc w:val="center"/>
              <w:rPr>
                <w:sz w:val="21"/>
                <w:szCs w:val="21"/>
              </w:rPr>
            </w:pPr>
            <w:r>
              <w:rPr>
                <w:sz w:val="21"/>
                <w:szCs w:val="21"/>
              </w:rPr>
              <w:t>生活垃圾治理</w:t>
            </w:r>
          </w:p>
        </w:tc>
        <w:tc>
          <w:tcPr>
            <w:tcW w:w="2359" w:type="dxa"/>
            <w:noWrap w:val="0"/>
            <w:vAlign w:val="center"/>
          </w:tcPr>
          <w:p>
            <w:pPr>
              <w:adjustRightInd w:val="0"/>
              <w:snapToGrid w:val="0"/>
              <w:spacing w:line="300" w:lineRule="exact"/>
              <w:jc w:val="center"/>
              <w:rPr>
                <w:sz w:val="21"/>
                <w:szCs w:val="21"/>
              </w:rPr>
            </w:pPr>
            <w:r>
              <w:rPr>
                <w:sz w:val="21"/>
                <w:szCs w:val="21"/>
              </w:rPr>
              <w:t>农村生活垃圾有效治理效率（%）</w:t>
            </w:r>
          </w:p>
        </w:tc>
        <w:tc>
          <w:tcPr>
            <w:tcW w:w="1532"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rFonts w:hint="eastAsia"/>
                <w:sz w:val="21"/>
                <w:szCs w:val="21"/>
              </w:rPr>
              <w:t>9</w:t>
            </w:r>
            <w:r>
              <w:rPr>
                <w:sz w:val="21"/>
                <w:szCs w:val="21"/>
              </w:rPr>
              <w:t>9</w:t>
            </w:r>
          </w:p>
        </w:tc>
        <w:tc>
          <w:tcPr>
            <w:tcW w:w="1423" w:type="dxa"/>
            <w:noWrap w:val="0"/>
            <w:vAlign w:val="center"/>
          </w:tcPr>
          <w:p>
            <w:pPr>
              <w:adjustRightInd w:val="0"/>
              <w:snapToGrid w:val="0"/>
              <w:spacing w:line="300" w:lineRule="exact"/>
              <w:jc w:val="center"/>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sz w:val="21"/>
                <w:szCs w:val="21"/>
              </w:rPr>
              <w:t>3</w:t>
            </w:r>
          </w:p>
        </w:tc>
        <w:tc>
          <w:tcPr>
            <w:tcW w:w="1179" w:type="dxa"/>
            <w:vMerge w:val="restart"/>
            <w:noWrap w:val="0"/>
            <w:vAlign w:val="center"/>
          </w:tcPr>
          <w:p>
            <w:pPr>
              <w:adjustRightInd w:val="0"/>
              <w:snapToGrid w:val="0"/>
              <w:spacing w:line="300" w:lineRule="exact"/>
              <w:jc w:val="center"/>
              <w:rPr>
                <w:sz w:val="21"/>
                <w:szCs w:val="21"/>
              </w:rPr>
            </w:pPr>
            <w:r>
              <w:rPr>
                <w:sz w:val="21"/>
                <w:szCs w:val="21"/>
              </w:rPr>
              <w:t>生活污水治理</w:t>
            </w:r>
          </w:p>
        </w:tc>
        <w:tc>
          <w:tcPr>
            <w:tcW w:w="2359" w:type="dxa"/>
            <w:noWrap w:val="0"/>
            <w:vAlign w:val="center"/>
          </w:tcPr>
          <w:p>
            <w:pPr>
              <w:adjustRightInd w:val="0"/>
              <w:snapToGrid w:val="0"/>
              <w:spacing w:line="300" w:lineRule="exact"/>
              <w:jc w:val="center"/>
              <w:rPr>
                <w:sz w:val="21"/>
                <w:szCs w:val="21"/>
              </w:rPr>
            </w:pPr>
            <w:r>
              <w:rPr>
                <w:sz w:val="21"/>
                <w:szCs w:val="21"/>
              </w:rPr>
              <w:t>农村卫生厕所普及率（%）</w:t>
            </w:r>
          </w:p>
        </w:tc>
        <w:tc>
          <w:tcPr>
            <w:tcW w:w="1532" w:type="dxa"/>
            <w:noWrap w:val="0"/>
            <w:vAlign w:val="center"/>
          </w:tcPr>
          <w:p>
            <w:pPr>
              <w:adjustRightInd w:val="0"/>
              <w:snapToGrid w:val="0"/>
              <w:spacing w:line="300" w:lineRule="exact"/>
              <w:jc w:val="center"/>
              <w:rPr>
                <w:sz w:val="21"/>
                <w:szCs w:val="21"/>
              </w:rPr>
            </w:pPr>
            <w:r>
              <w:rPr>
                <w:rFonts w:hint="eastAsia"/>
                <w:sz w:val="21"/>
                <w:szCs w:val="21"/>
              </w:rPr>
              <w:t>7</w:t>
            </w:r>
            <w:r>
              <w:rPr>
                <w:sz w:val="21"/>
                <w:szCs w:val="21"/>
              </w:rPr>
              <w:t>2.1</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rFonts w:hint="eastAsia"/>
                <w:sz w:val="21"/>
                <w:szCs w:val="21"/>
              </w:rPr>
              <w:t>8</w:t>
            </w:r>
            <w:r>
              <w:rPr>
                <w:sz w:val="21"/>
                <w:szCs w:val="21"/>
              </w:rPr>
              <w:t>9</w:t>
            </w:r>
          </w:p>
        </w:tc>
        <w:tc>
          <w:tcPr>
            <w:tcW w:w="1423" w:type="dxa"/>
            <w:noWrap w:val="0"/>
            <w:vAlign w:val="center"/>
          </w:tcPr>
          <w:p>
            <w:pPr>
              <w:adjustRightInd w:val="0"/>
              <w:snapToGrid w:val="0"/>
              <w:spacing w:line="300" w:lineRule="exact"/>
              <w:jc w:val="center"/>
              <w:rPr>
                <w:sz w:val="21"/>
                <w:szCs w:val="21"/>
              </w:rPr>
            </w:pPr>
            <w:r>
              <w:rPr>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sz w:val="21"/>
                <w:szCs w:val="21"/>
              </w:rPr>
              <w:t>4</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农村生活污水集中处理率（%）</w:t>
            </w:r>
          </w:p>
        </w:tc>
        <w:tc>
          <w:tcPr>
            <w:tcW w:w="1532" w:type="dxa"/>
            <w:noWrap w:val="0"/>
            <w:vAlign w:val="center"/>
          </w:tcPr>
          <w:p>
            <w:pPr>
              <w:adjustRightInd w:val="0"/>
              <w:snapToGrid w:val="0"/>
              <w:spacing w:line="300" w:lineRule="exact"/>
              <w:jc w:val="center"/>
              <w:rPr>
                <w:sz w:val="21"/>
                <w:szCs w:val="21"/>
              </w:rPr>
            </w:pPr>
            <w:r>
              <w:rPr>
                <w:sz w:val="21"/>
                <w:szCs w:val="21"/>
              </w:rPr>
              <w:t>63</w:t>
            </w:r>
          </w:p>
        </w:tc>
        <w:tc>
          <w:tcPr>
            <w:tcW w:w="1298" w:type="dxa"/>
            <w:noWrap w:val="0"/>
            <w:vAlign w:val="center"/>
          </w:tcPr>
          <w:p>
            <w:pPr>
              <w:adjustRightInd w:val="0"/>
              <w:snapToGrid w:val="0"/>
              <w:spacing w:line="300" w:lineRule="exact"/>
              <w:jc w:val="center"/>
              <w:rPr>
                <w:sz w:val="21"/>
                <w:szCs w:val="21"/>
              </w:rPr>
            </w:pPr>
            <w:r>
              <w:rPr>
                <w:sz w:val="21"/>
                <w:szCs w:val="21"/>
              </w:rPr>
              <w:t>64</w:t>
            </w:r>
          </w:p>
        </w:tc>
        <w:tc>
          <w:tcPr>
            <w:tcW w:w="1298" w:type="dxa"/>
            <w:noWrap w:val="0"/>
            <w:vAlign w:val="center"/>
          </w:tcPr>
          <w:p>
            <w:pPr>
              <w:adjustRightInd w:val="0"/>
              <w:snapToGrid w:val="0"/>
              <w:spacing w:line="300" w:lineRule="exact"/>
              <w:jc w:val="center"/>
              <w:rPr>
                <w:sz w:val="21"/>
                <w:szCs w:val="21"/>
              </w:rPr>
            </w:pPr>
            <w:r>
              <w:rPr>
                <w:sz w:val="21"/>
                <w:szCs w:val="21"/>
              </w:rPr>
              <w:t>78</w:t>
            </w:r>
          </w:p>
        </w:tc>
        <w:tc>
          <w:tcPr>
            <w:tcW w:w="1423" w:type="dxa"/>
            <w:noWrap w:val="0"/>
            <w:vAlign w:val="center"/>
          </w:tcPr>
          <w:p>
            <w:pPr>
              <w:adjustRightInd w:val="0"/>
              <w:snapToGrid w:val="0"/>
              <w:spacing w:line="300" w:lineRule="exact"/>
              <w:jc w:val="center"/>
              <w:rPr>
                <w:b/>
                <w:color w:val="FF0000"/>
                <w:sz w:val="21"/>
                <w:szCs w:val="21"/>
              </w:rPr>
            </w:pPr>
            <w:r>
              <w:rPr>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5</w:t>
            </w:r>
          </w:p>
        </w:tc>
        <w:tc>
          <w:tcPr>
            <w:tcW w:w="1179" w:type="dxa"/>
            <w:vMerge w:val="restart"/>
            <w:noWrap w:val="0"/>
            <w:vAlign w:val="center"/>
          </w:tcPr>
          <w:p>
            <w:pPr>
              <w:adjustRightInd w:val="0"/>
              <w:snapToGrid w:val="0"/>
              <w:spacing w:line="300" w:lineRule="exact"/>
              <w:jc w:val="center"/>
              <w:rPr>
                <w:sz w:val="21"/>
                <w:szCs w:val="21"/>
              </w:rPr>
            </w:pPr>
            <w:r>
              <w:rPr>
                <w:sz w:val="21"/>
                <w:szCs w:val="21"/>
              </w:rPr>
              <w:t>养殖业污染防治</w:t>
            </w:r>
          </w:p>
        </w:tc>
        <w:tc>
          <w:tcPr>
            <w:tcW w:w="2359" w:type="dxa"/>
            <w:noWrap w:val="0"/>
            <w:vAlign w:val="center"/>
          </w:tcPr>
          <w:p>
            <w:pPr>
              <w:adjustRightInd w:val="0"/>
              <w:snapToGrid w:val="0"/>
              <w:spacing w:line="300" w:lineRule="exact"/>
              <w:jc w:val="center"/>
              <w:rPr>
                <w:sz w:val="21"/>
                <w:szCs w:val="21"/>
              </w:rPr>
            </w:pPr>
            <w:r>
              <w:rPr>
                <w:sz w:val="21"/>
                <w:szCs w:val="21"/>
              </w:rPr>
              <w:t>畜禽养殖废弃物综合利用率（%）</w:t>
            </w:r>
          </w:p>
        </w:tc>
        <w:tc>
          <w:tcPr>
            <w:tcW w:w="1532" w:type="dxa"/>
            <w:noWrap w:val="0"/>
            <w:vAlign w:val="center"/>
          </w:tcPr>
          <w:p>
            <w:pPr>
              <w:adjustRightInd w:val="0"/>
              <w:snapToGrid w:val="0"/>
              <w:spacing w:line="300" w:lineRule="exact"/>
              <w:jc w:val="center"/>
              <w:rPr>
                <w:sz w:val="21"/>
                <w:szCs w:val="21"/>
              </w:rPr>
            </w:pPr>
            <w:r>
              <w:rPr>
                <w:sz w:val="21"/>
                <w:szCs w:val="21"/>
              </w:rPr>
              <w:t>69</w:t>
            </w:r>
          </w:p>
        </w:tc>
        <w:tc>
          <w:tcPr>
            <w:tcW w:w="1298" w:type="dxa"/>
            <w:noWrap w:val="0"/>
            <w:vAlign w:val="center"/>
          </w:tcPr>
          <w:p>
            <w:pPr>
              <w:adjustRightInd w:val="0"/>
              <w:snapToGrid w:val="0"/>
              <w:spacing w:line="300" w:lineRule="exact"/>
              <w:jc w:val="center"/>
              <w:rPr>
                <w:sz w:val="21"/>
                <w:szCs w:val="21"/>
              </w:rPr>
            </w:pPr>
            <w:r>
              <w:rPr>
                <w:sz w:val="21"/>
                <w:szCs w:val="21"/>
              </w:rPr>
              <w:t>70</w:t>
            </w:r>
          </w:p>
        </w:tc>
        <w:tc>
          <w:tcPr>
            <w:tcW w:w="1298" w:type="dxa"/>
            <w:noWrap w:val="0"/>
            <w:vAlign w:val="center"/>
          </w:tcPr>
          <w:p>
            <w:pPr>
              <w:adjustRightInd w:val="0"/>
              <w:snapToGrid w:val="0"/>
              <w:spacing w:line="300" w:lineRule="exact"/>
              <w:jc w:val="center"/>
              <w:rPr>
                <w:sz w:val="21"/>
                <w:szCs w:val="21"/>
              </w:rPr>
            </w:pPr>
            <w:r>
              <w:rPr>
                <w:sz w:val="21"/>
                <w:szCs w:val="21"/>
              </w:rPr>
              <w:t>73</w:t>
            </w:r>
          </w:p>
        </w:tc>
        <w:tc>
          <w:tcPr>
            <w:tcW w:w="1423" w:type="dxa"/>
            <w:noWrap w:val="0"/>
            <w:vAlign w:val="center"/>
          </w:tcPr>
          <w:p>
            <w:pPr>
              <w:adjustRightInd w:val="0"/>
              <w:snapToGrid w:val="0"/>
              <w:spacing w:line="300" w:lineRule="exact"/>
              <w:jc w:val="center"/>
              <w:rPr>
                <w:sz w:val="21"/>
                <w:szCs w:val="21"/>
              </w:rPr>
            </w:pPr>
            <w:r>
              <w:rPr>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6</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大型畜禽养殖场粪污处理设施装备配套率（%）</w:t>
            </w:r>
          </w:p>
        </w:tc>
        <w:tc>
          <w:tcPr>
            <w:tcW w:w="1532" w:type="dxa"/>
            <w:noWrap w:val="0"/>
            <w:vAlign w:val="center"/>
          </w:tcPr>
          <w:p>
            <w:pPr>
              <w:adjustRightInd w:val="0"/>
              <w:snapToGrid w:val="0"/>
              <w:spacing w:line="300" w:lineRule="exact"/>
              <w:jc w:val="center"/>
              <w:rPr>
                <w:sz w:val="21"/>
                <w:szCs w:val="21"/>
              </w:rPr>
            </w:pPr>
            <w:r>
              <w:rPr>
                <w:sz w:val="21"/>
                <w:szCs w:val="21"/>
              </w:rPr>
              <w:t>80</w:t>
            </w:r>
          </w:p>
        </w:tc>
        <w:tc>
          <w:tcPr>
            <w:tcW w:w="1298" w:type="dxa"/>
            <w:noWrap w:val="0"/>
            <w:vAlign w:val="center"/>
          </w:tcPr>
          <w:p>
            <w:pPr>
              <w:adjustRightInd w:val="0"/>
              <w:snapToGrid w:val="0"/>
              <w:spacing w:line="300" w:lineRule="exact"/>
              <w:jc w:val="center"/>
              <w:rPr>
                <w:sz w:val="21"/>
                <w:szCs w:val="21"/>
              </w:rPr>
            </w:pPr>
            <w:r>
              <w:rPr>
                <w:sz w:val="21"/>
                <w:szCs w:val="21"/>
              </w:rPr>
              <w:t>90</w:t>
            </w:r>
          </w:p>
        </w:tc>
        <w:tc>
          <w:tcPr>
            <w:tcW w:w="1298" w:type="dxa"/>
            <w:noWrap w:val="0"/>
            <w:vAlign w:val="center"/>
          </w:tcPr>
          <w:p>
            <w:pPr>
              <w:adjustRightInd w:val="0"/>
              <w:snapToGrid w:val="0"/>
              <w:spacing w:line="300" w:lineRule="exact"/>
              <w:jc w:val="center"/>
              <w:rPr>
                <w:sz w:val="21"/>
                <w:szCs w:val="21"/>
              </w:rPr>
            </w:pPr>
            <w:r>
              <w:rPr>
                <w:sz w:val="21"/>
                <w:szCs w:val="21"/>
              </w:rPr>
              <w:t>100</w:t>
            </w:r>
          </w:p>
        </w:tc>
        <w:tc>
          <w:tcPr>
            <w:tcW w:w="1423" w:type="dxa"/>
            <w:noWrap w:val="0"/>
            <w:vAlign w:val="center"/>
          </w:tcPr>
          <w:p>
            <w:pPr>
              <w:adjustRightInd w:val="0"/>
              <w:snapToGrid w:val="0"/>
              <w:spacing w:line="300" w:lineRule="exact"/>
              <w:jc w:val="center"/>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7</w:t>
            </w:r>
          </w:p>
        </w:tc>
        <w:tc>
          <w:tcPr>
            <w:tcW w:w="1179" w:type="dxa"/>
            <w:vMerge w:val="restart"/>
            <w:noWrap w:val="0"/>
            <w:vAlign w:val="center"/>
          </w:tcPr>
          <w:p>
            <w:pPr>
              <w:adjustRightInd w:val="0"/>
              <w:snapToGrid w:val="0"/>
              <w:spacing w:line="300" w:lineRule="exact"/>
              <w:jc w:val="center"/>
              <w:rPr>
                <w:sz w:val="21"/>
                <w:szCs w:val="21"/>
              </w:rPr>
            </w:pPr>
            <w:r>
              <w:rPr>
                <w:sz w:val="21"/>
                <w:szCs w:val="21"/>
              </w:rPr>
              <w:t>种植业污染防控</w:t>
            </w:r>
          </w:p>
        </w:tc>
        <w:tc>
          <w:tcPr>
            <w:tcW w:w="2359" w:type="dxa"/>
            <w:noWrap w:val="0"/>
            <w:vAlign w:val="center"/>
          </w:tcPr>
          <w:p>
            <w:pPr>
              <w:adjustRightInd w:val="0"/>
              <w:snapToGrid w:val="0"/>
              <w:spacing w:line="300" w:lineRule="exact"/>
              <w:jc w:val="center"/>
              <w:rPr>
                <w:sz w:val="21"/>
                <w:szCs w:val="21"/>
              </w:rPr>
            </w:pPr>
            <w:r>
              <w:rPr>
                <w:sz w:val="21"/>
                <w:szCs w:val="21"/>
              </w:rPr>
              <w:t>化肥利用率（%）</w:t>
            </w:r>
          </w:p>
        </w:tc>
        <w:tc>
          <w:tcPr>
            <w:tcW w:w="1532" w:type="dxa"/>
            <w:noWrap w:val="0"/>
            <w:vAlign w:val="center"/>
          </w:tcPr>
          <w:p>
            <w:pPr>
              <w:adjustRightInd w:val="0"/>
              <w:snapToGrid w:val="0"/>
              <w:spacing w:line="300" w:lineRule="exact"/>
              <w:jc w:val="center"/>
              <w:rPr>
                <w:sz w:val="21"/>
                <w:szCs w:val="21"/>
              </w:rPr>
            </w:pPr>
            <w:r>
              <w:rPr>
                <w:sz w:val="21"/>
                <w:szCs w:val="21"/>
              </w:rPr>
              <w:t>37</w:t>
            </w:r>
          </w:p>
        </w:tc>
        <w:tc>
          <w:tcPr>
            <w:tcW w:w="1298" w:type="dxa"/>
            <w:noWrap w:val="0"/>
            <w:vAlign w:val="center"/>
          </w:tcPr>
          <w:p>
            <w:pPr>
              <w:adjustRightInd w:val="0"/>
              <w:snapToGrid w:val="0"/>
              <w:spacing w:line="300" w:lineRule="exact"/>
              <w:jc w:val="center"/>
              <w:rPr>
                <w:sz w:val="21"/>
                <w:szCs w:val="21"/>
              </w:rPr>
            </w:pPr>
            <w:r>
              <w:rPr>
                <w:sz w:val="21"/>
                <w:szCs w:val="21"/>
              </w:rPr>
              <w:t>38</w:t>
            </w:r>
          </w:p>
        </w:tc>
        <w:tc>
          <w:tcPr>
            <w:tcW w:w="1298" w:type="dxa"/>
            <w:noWrap w:val="0"/>
            <w:vAlign w:val="center"/>
          </w:tcPr>
          <w:p>
            <w:pPr>
              <w:adjustRightInd w:val="0"/>
              <w:snapToGrid w:val="0"/>
              <w:spacing w:line="300" w:lineRule="exact"/>
              <w:jc w:val="center"/>
              <w:rPr>
                <w:sz w:val="21"/>
                <w:szCs w:val="21"/>
              </w:rPr>
            </w:pPr>
            <w:r>
              <w:rPr>
                <w:sz w:val="21"/>
                <w:szCs w:val="21"/>
              </w:rPr>
              <w:t>39</w:t>
            </w:r>
          </w:p>
        </w:tc>
        <w:tc>
          <w:tcPr>
            <w:tcW w:w="1423" w:type="dxa"/>
            <w:noWrap w:val="0"/>
            <w:vAlign w:val="center"/>
          </w:tcPr>
          <w:p>
            <w:pPr>
              <w:adjustRightInd w:val="0"/>
              <w:snapToGrid w:val="0"/>
              <w:spacing w:line="300" w:lineRule="exact"/>
              <w:jc w:val="center"/>
              <w:rPr>
                <w:sz w:val="21"/>
                <w:szCs w:val="21"/>
              </w:rPr>
            </w:pPr>
            <w:r>
              <w:rPr>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8</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全区化肥施用总量（吨）</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9016</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8898</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8783</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8668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9</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测土配方施肥技术推广覆盖率（%）</w:t>
            </w:r>
          </w:p>
        </w:tc>
        <w:tc>
          <w:tcPr>
            <w:tcW w:w="1532" w:type="dxa"/>
            <w:noWrap w:val="0"/>
            <w:vAlign w:val="center"/>
          </w:tcPr>
          <w:p>
            <w:pPr>
              <w:adjustRightInd w:val="0"/>
              <w:snapToGrid w:val="0"/>
              <w:spacing w:line="300" w:lineRule="exact"/>
              <w:jc w:val="center"/>
              <w:rPr>
                <w:sz w:val="21"/>
                <w:szCs w:val="21"/>
              </w:rPr>
            </w:pPr>
            <w:r>
              <w:rPr>
                <w:sz w:val="21"/>
                <w:szCs w:val="21"/>
              </w:rPr>
              <w:t>85.1</w:t>
            </w:r>
          </w:p>
        </w:tc>
        <w:tc>
          <w:tcPr>
            <w:tcW w:w="1298" w:type="dxa"/>
            <w:noWrap w:val="0"/>
            <w:vAlign w:val="center"/>
          </w:tcPr>
          <w:p>
            <w:pPr>
              <w:adjustRightInd w:val="0"/>
              <w:snapToGrid w:val="0"/>
              <w:spacing w:line="300" w:lineRule="exact"/>
              <w:jc w:val="center"/>
              <w:rPr>
                <w:sz w:val="21"/>
                <w:szCs w:val="21"/>
              </w:rPr>
            </w:pPr>
            <w:r>
              <w:rPr>
                <w:sz w:val="21"/>
                <w:szCs w:val="21"/>
              </w:rPr>
              <w:t>89</w:t>
            </w:r>
          </w:p>
        </w:tc>
        <w:tc>
          <w:tcPr>
            <w:tcW w:w="1298" w:type="dxa"/>
            <w:noWrap w:val="0"/>
            <w:vAlign w:val="center"/>
          </w:tcPr>
          <w:p>
            <w:pPr>
              <w:adjustRightInd w:val="0"/>
              <w:snapToGrid w:val="0"/>
              <w:spacing w:line="300" w:lineRule="exact"/>
              <w:jc w:val="center"/>
              <w:rPr>
                <w:sz w:val="21"/>
                <w:szCs w:val="21"/>
              </w:rPr>
            </w:pPr>
            <w:r>
              <w:rPr>
                <w:sz w:val="21"/>
                <w:szCs w:val="21"/>
              </w:rPr>
              <w:t>91</w:t>
            </w:r>
          </w:p>
        </w:tc>
        <w:tc>
          <w:tcPr>
            <w:tcW w:w="1423" w:type="dxa"/>
            <w:noWrap w:val="0"/>
            <w:vAlign w:val="center"/>
          </w:tcPr>
          <w:p>
            <w:pPr>
              <w:adjustRightInd w:val="0"/>
              <w:snapToGrid w:val="0"/>
              <w:spacing w:line="300" w:lineRule="exact"/>
              <w:jc w:val="center"/>
              <w:rPr>
                <w:sz w:val="21"/>
                <w:szCs w:val="21"/>
              </w:rPr>
            </w:pPr>
            <w:r>
              <w:rPr>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0</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农药利用率（%）</w:t>
            </w:r>
          </w:p>
        </w:tc>
        <w:tc>
          <w:tcPr>
            <w:tcW w:w="1532" w:type="dxa"/>
            <w:noWrap w:val="0"/>
            <w:vAlign w:val="center"/>
          </w:tcPr>
          <w:p>
            <w:pPr>
              <w:adjustRightInd w:val="0"/>
              <w:snapToGrid w:val="0"/>
              <w:spacing w:line="300" w:lineRule="exact"/>
              <w:jc w:val="center"/>
              <w:rPr>
                <w:sz w:val="21"/>
                <w:szCs w:val="21"/>
              </w:rPr>
            </w:pPr>
            <w:r>
              <w:rPr>
                <w:sz w:val="21"/>
                <w:szCs w:val="21"/>
              </w:rPr>
              <w:t>38.44</w:t>
            </w:r>
          </w:p>
        </w:tc>
        <w:tc>
          <w:tcPr>
            <w:tcW w:w="1298" w:type="dxa"/>
            <w:noWrap w:val="0"/>
            <w:vAlign w:val="center"/>
          </w:tcPr>
          <w:p>
            <w:pPr>
              <w:adjustRightInd w:val="0"/>
              <w:snapToGrid w:val="0"/>
              <w:spacing w:line="300" w:lineRule="exact"/>
              <w:jc w:val="center"/>
              <w:rPr>
                <w:sz w:val="21"/>
                <w:szCs w:val="21"/>
              </w:rPr>
            </w:pPr>
            <w:r>
              <w:rPr>
                <w:sz w:val="21"/>
                <w:szCs w:val="21"/>
              </w:rPr>
              <w:t>3</w:t>
            </w:r>
            <w:r>
              <w:rPr>
                <w:rFonts w:hint="eastAsia"/>
                <w:sz w:val="21"/>
                <w:szCs w:val="21"/>
              </w:rPr>
              <w:t>8.83</w:t>
            </w:r>
          </w:p>
        </w:tc>
        <w:tc>
          <w:tcPr>
            <w:tcW w:w="1298" w:type="dxa"/>
            <w:noWrap w:val="0"/>
            <w:vAlign w:val="center"/>
          </w:tcPr>
          <w:p>
            <w:pPr>
              <w:adjustRightInd w:val="0"/>
              <w:snapToGrid w:val="0"/>
              <w:spacing w:line="300" w:lineRule="exact"/>
              <w:jc w:val="center"/>
              <w:rPr>
                <w:rFonts w:hint="eastAsia"/>
                <w:sz w:val="21"/>
                <w:szCs w:val="21"/>
              </w:rPr>
            </w:pPr>
            <w:r>
              <w:rPr>
                <w:sz w:val="21"/>
                <w:szCs w:val="21"/>
              </w:rPr>
              <w:t>≥3</w:t>
            </w:r>
            <w:r>
              <w:rPr>
                <w:rFonts w:hint="eastAsia"/>
                <w:sz w:val="21"/>
                <w:szCs w:val="21"/>
              </w:rPr>
              <w:t>9</w:t>
            </w:r>
          </w:p>
        </w:tc>
        <w:tc>
          <w:tcPr>
            <w:tcW w:w="1423" w:type="dxa"/>
            <w:noWrap w:val="0"/>
            <w:vAlign w:val="center"/>
          </w:tcPr>
          <w:p>
            <w:pPr>
              <w:adjustRightInd w:val="0"/>
              <w:snapToGrid w:val="0"/>
              <w:spacing w:line="300" w:lineRule="exact"/>
              <w:jc w:val="center"/>
              <w:rPr>
                <w:sz w:val="21"/>
                <w:szCs w:val="21"/>
              </w:rPr>
            </w:pPr>
            <w:r>
              <w:rPr>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1</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全区农药施用总量（吨）</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 xml:space="preserve">223.00 </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 xml:space="preserve">218.50 </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 xml:space="preserve">216.30 </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textAlignment w:val="center"/>
              <w:rPr>
                <w:color w:val="000000"/>
                <w:sz w:val="21"/>
                <w:szCs w:val="21"/>
              </w:rPr>
            </w:pPr>
            <w:r>
              <w:rPr>
                <w:color w:val="000000"/>
                <w:kern w:val="0"/>
                <w:sz w:val="21"/>
                <w:szCs w:val="21"/>
                <w:lang w:bidi="ar"/>
              </w:rPr>
              <w:t xml:space="preserve">214.20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2</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主要农作物绿色防控覆盖率（%）</w:t>
            </w:r>
          </w:p>
        </w:tc>
        <w:tc>
          <w:tcPr>
            <w:tcW w:w="1532" w:type="dxa"/>
            <w:noWrap w:val="0"/>
            <w:vAlign w:val="center"/>
          </w:tcPr>
          <w:p>
            <w:pPr>
              <w:adjustRightInd w:val="0"/>
              <w:snapToGrid w:val="0"/>
              <w:spacing w:line="300" w:lineRule="exact"/>
              <w:jc w:val="center"/>
              <w:rPr>
                <w:sz w:val="21"/>
                <w:szCs w:val="21"/>
              </w:rPr>
            </w:pPr>
            <w:r>
              <w:rPr>
                <w:sz w:val="21"/>
                <w:szCs w:val="21"/>
              </w:rPr>
              <w:t>27.85</w:t>
            </w:r>
          </w:p>
        </w:tc>
        <w:tc>
          <w:tcPr>
            <w:tcW w:w="1298" w:type="dxa"/>
            <w:noWrap w:val="0"/>
            <w:vAlign w:val="center"/>
          </w:tcPr>
          <w:p>
            <w:pPr>
              <w:adjustRightInd w:val="0"/>
              <w:snapToGrid w:val="0"/>
              <w:spacing w:line="300" w:lineRule="exact"/>
              <w:jc w:val="center"/>
              <w:rPr>
                <w:sz w:val="21"/>
                <w:szCs w:val="21"/>
              </w:rPr>
            </w:pPr>
            <w:r>
              <w:rPr>
                <w:sz w:val="21"/>
                <w:szCs w:val="21"/>
              </w:rPr>
              <w:t>29.82</w:t>
            </w:r>
          </w:p>
        </w:tc>
        <w:tc>
          <w:tcPr>
            <w:tcW w:w="1298" w:type="dxa"/>
            <w:noWrap w:val="0"/>
            <w:vAlign w:val="center"/>
          </w:tcPr>
          <w:p>
            <w:pPr>
              <w:adjustRightInd w:val="0"/>
              <w:snapToGrid w:val="0"/>
              <w:spacing w:line="300" w:lineRule="exact"/>
              <w:jc w:val="center"/>
              <w:rPr>
                <w:sz w:val="21"/>
                <w:szCs w:val="21"/>
              </w:rPr>
            </w:pPr>
            <w:r>
              <w:rPr>
                <w:sz w:val="21"/>
                <w:szCs w:val="21"/>
              </w:rPr>
              <w:t>≥30</w:t>
            </w:r>
          </w:p>
        </w:tc>
        <w:tc>
          <w:tcPr>
            <w:tcW w:w="1423" w:type="dxa"/>
            <w:noWrap w:val="0"/>
            <w:vAlign w:val="center"/>
          </w:tcPr>
          <w:p>
            <w:pPr>
              <w:adjustRightInd w:val="0"/>
              <w:snapToGrid w:val="0"/>
              <w:spacing w:line="300" w:lineRule="exact"/>
              <w:jc w:val="center"/>
              <w:rPr>
                <w:sz w:val="21"/>
                <w:szCs w:val="21"/>
              </w:rPr>
            </w:pPr>
            <w:r>
              <w:rPr>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3</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农作物秸秆综合利用率（%）</w:t>
            </w:r>
          </w:p>
        </w:tc>
        <w:tc>
          <w:tcPr>
            <w:tcW w:w="1532" w:type="dxa"/>
            <w:noWrap w:val="0"/>
            <w:vAlign w:val="center"/>
          </w:tcPr>
          <w:p>
            <w:pPr>
              <w:adjustRightInd w:val="0"/>
              <w:snapToGrid w:val="0"/>
              <w:spacing w:line="300" w:lineRule="exact"/>
              <w:jc w:val="center"/>
              <w:rPr>
                <w:sz w:val="21"/>
                <w:szCs w:val="21"/>
              </w:rPr>
            </w:pPr>
            <w:r>
              <w:rPr>
                <w:sz w:val="21"/>
                <w:szCs w:val="21"/>
              </w:rPr>
              <w:t xml:space="preserve">80  </w:t>
            </w:r>
          </w:p>
        </w:tc>
        <w:tc>
          <w:tcPr>
            <w:tcW w:w="1298" w:type="dxa"/>
            <w:noWrap w:val="0"/>
            <w:vAlign w:val="center"/>
          </w:tcPr>
          <w:p>
            <w:pPr>
              <w:adjustRightInd w:val="0"/>
              <w:snapToGrid w:val="0"/>
              <w:spacing w:line="300" w:lineRule="exact"/>
              <w:jc w:val="center"/>
              <w:rPr>
                <w:sz w:val="21"/>
                <w:szCs w:val="21"/>
              </w:rPr>
            </w:pPr>
            <w:r>
              <w:rPr>
                <w:sz w:val="21"/>
                <w:szCs w:val="21"/>
              </w:rPr>
              <w:t xml:space="preserve">82 </w:t>
            </w:r>
          </w:p>
        </w:tc>
        <w:tc>
          <w:tcPr>
            <w:tcW w:w="1298" w:type="dxa"/>
            <w:noWrap w:val="0"/>
            <w:vAlign w:val="center"/>
          </w:tcPr>
          <w:p>
            <w:pPr>
              <w:adjustRightInd w:val="0"/>
              <w:snapToGrid w:val="0"/>
              <w:spacing w:line="300" w:lineRule="exact"/>
              <w:jc w:val="center"/>
              <w:rPr>
                <w:sz w:val="21"/>
                <w:szCs w:val="21"/>
              </w:rPr>
            </w:pPr>
            <w:r>
              <w:rPr>
                <w:sz w:val="21"/>
                <w:szCs w:val="21"/>
              </w:rPr>
              <w:t>84</w:t>
            </w:r>
          </w:p>
        </w:tc>
        <w:tc>
          <w:tcPr>
            <w:tcW w:w="1423" w:type="dxa"/>
            <w:noWrap w:val="0"/>
            <w:vAlign w:val="center"/>
          </w:tcPr>
          <w:p>
            <w:pPr>
              <w:adjustRightInd w:val="0"/>
              <w:snapToGrid w:val="0"/>
              <w:spacing w:line="300" w:lineRule="exact"/>
              <w:jc w:val="center"/>
              <w:rPr>
                <w:rFonts w:hint="eastAsia"/>
                <w:sz w:val="21"/>
                <w:szCs w:val="21"/>
              </w:rPr>
            </w:pPr>
            <w:r>
              <w:rPr>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4</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农膜回收利用率（%）</w:t>
            </w:r>
          </w:p>
        </w:tc>
        <w:tc>
          <w:tcPr>
            <w:tcW w:w="1532"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rFonts w:hint="eastAsia"/>
                <w:sz w:val="21"/>
                <w:szCs w:val="21"/>
              </w:rPr>
              <w:t>75</w:t>
            </w:r>
          </w:p>
        </w:tc>
        <w:tc>
          <w:tcPr>
            <w:tcW w:w="1423" w:type="dxa"/>
            <w:noWrap w:val="0"/>
            <w:vAlign w:val="center"/>
          </w:tcPr>
          <w:p>
            <w:pPr>
              <w:adjustRightInd w:val="0"/>
              <w:snapToGrid w:val="0"/>
              <w:spacing w:line="300" w:lineRule="exact"/>
              <w:jc w:val="center"/>
              <w:rPr>
                <w:sz w:val="21"/>
                <w:szCs w:val="21"/>
              </w:rPr>
            </w:pPr>
            <w:r>
              <w:rPr>
                <w:rFonts w:hint="eastAsia"/>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5</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有效期内“三品一标”个数（个）</w:t>
            </w:r>
          </w:p>
        </w:tc>
        <w:tc>
          <w:tcPr>
            <w:tcW w:w="1532"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423" w:type="dxa"/>
            <w:noWrap w:val="0"/>
            <w:vAlign w:val="center"/>
          </w:tcPr>
          <w:p>
            <w:pPr>
              <w:adjustRightInd w:val="0"/>
              <w:snapToGrid w:val="0"/>
              <w:spacing w:line="300" w:lineRule="exact"/>
              <w:jc w:val="center"/>
              <w:rPr>
                <w:sz w:val="21"/>
                <w:szCs w:val="21"/>
              </w:rPr>
            </w:pPr>
            <w:r>
              <w:rPr>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6</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农田灌溉水有效利用系数</w:t>
            </w:r>
          </w:p>
        </w:tc>
        <w:tc>
          <w:tcPr>
            <w:tcW w:w="1532" w:type="dxa"/>
            <w:noWrap w:val="0"/>
            <w:vAlign w:val="center"/>
          </w:tcPr>
          <w:p>
            <w:pPr>
              <w:adjustRightInd w:val="0"/>
              <w:snapToGrid w:val="0"/>
              <w:spacing w:line="300" w:lineRule="exact"/>
              <w:jc w:val="center"/>
              <w:rPr>
                <w:sz w:val="21"/>
                <w:szCs w:val="21"/>
              </w:rPr>
            </w:pPr>
            <w:r>
              <w:rPr>
                <w:rFonts w:hint="eastAsia"/>
                <w:sz w:val="21"/>
                <w:szCs w:val="21"/>
              </w:rPr>
              <w:t>0</w:t>
            </w:r>
            <w:r>
              <w:rPr>
                <w:sz w:val="21"/>
                <w:szCs w:val="21"/>
              </w:rPr>
              <w:t>.484</w:t>
            </w:r>
          </w:p>
        </w:tc>
        <w:tc>
          <w:tcPr>
            <w:tcW w:w="1298" w:type="dxa"/>
            <w:noWrap w:val="0"/>
            <w:vAlign w:val="center"/>
          </w:tcPr>
          <w:p>
            <w:pPr>
              <w:adjustRightInd w:val="0"/>
              <w:snapToGrid w:val="0"/>
              <w:spacing w:line="300" w:lineRule="exact"/>
              <w:jc w:val="center"/>
              <w:rPr>
                <w:sz w:val="21"/>
                <w:szCs w:val="21"/>
              </w:rPr>
            </w:pPr>
            <w:r>
              <w:rPr>
                <w:rFonts w:hint="eastAsia"/>
                <w:sz w:val="21"/>
                <w:szCs w:val="21"/>
              </w:rPr>
              <w:t>0</w:t>
            </w:r>
            <w:r>
              <w:rPr>
                <w:sz w:val="21"/>
                <w:szCs w:val="21"/>
              </w:rPr>
              <w:t>.493</w:t>
            </w:r>
          </w:p>
        </w:tc>
        <w:tc>
          <w:tcPr>
            <w:tcW w:w="1298" w:type="dxa"/>
            <w:noWrap w:val="0"/>
            <w:vAlign w:val="center"/>
          </w:tcPr>
          <w:p>
            <w:pPr>
              <w:adjustRightInd w:val="0"/>
              <w:snapToGrid w:val="0"/>
              <w:spacing w:line="300" w:lineRule="exact"/>
              <w:jc w:val="center"/>
              <w:rPr>
                <w:sz w:val="21"/>
                <w:szCs w:val="21"/>
              </w:rPr>
            </w:pPr>
            <w:r>
              <w:rPr>
                <w:sz w:val="21"/>
                <w:szCs w:val="21"/>
              </w:rPr>
              <w:t>0.502</w:t>
            </w:r>
          </w:p>
        </w:tc>
        <w:tc>
          <w:tcPr>
            <w:tcW w:w="1423" w:type="dxa"/>
            <w:noWrap w:val="0"/>
            <w:vAlign w:val="center"/>
          </w:tcPr>
          <w:p>
            <w:pPr>
              <w:adjustRightInd w:val="0"/>
              <w:snapToGrid w:val="0"/>
              <w:spacing w:line="300" w:lineRule="exact"/>
              <w:jc w:val="center"/>
              <w:rPr>
                <w:sz w:val="21"/>
                <w:szCs w:val="21"/>
              </w:rPr>
            </w:pPr>
            <w:r>
              <w:rPr>
                <w:sz w:val="21"/>
                <w:szCs w:val="21"/>
              </w:rPr>
              <w:t>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7</w:t>
            </w:r>
          </w:p>
        </w:tc>
        <w:tc>
          <w:tcPr>
            <w:tcW w:w="1179" w:type="dxa"/>
            <w:vMerge w:val="continue"/>
            <w:noWrap w:val="0"/>
            <w:vAlign w:val="center"/>
          </w:tcPr>
          <w:p>
            <w:pPr>
              <w:adjustRightInd w:val="0"/>
              <w:snapToGrid w:val="0"/>
              <w:spacing w:line="300" w:lineRule="exact"/>
              <w:jc w:val="center"/>
              <w:rPr>
                <w:sz w:val="21"/>
                <w:szCs w:val="21"/>
              </w:rPr>
            </w:pPr>
          </w:p>
        </w:tc>
        <w:tc>
          <w:tcPr>
            <w:tcW w:w="2359" w:type="dxa"/>
            <w:noWrap w:val="0"/>
            <w:vAlign w:val="center"/>
          </w:tcPr>
          <w:p>
            <w:pPr>
              <w:adjustRightInd w:val="0"/>
              <w:snapToGrid w:val="0"/>
              <w:spacing w:line="300" w:lineRule="exact"/>
              <w:jc w:val="center"/>
              <w:rPr>
                <w:sz w:val="21"/>
                <w:szCs w:val="21"/>
              </w:rPr>
            </w:pPr>
            <w:r>
              <w:rPr>
                <w:sz w:val="21"/>
                <w:szCs w:val="21"/>
              </w:rPr>
              <w:t>受污染耕地安全利用率（%）</w:t>
            </w:r>
          </w:p>
        </w:tc>
        <w:tc>
          <w:tcPr>
            <w:tcW w:w="1532"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kern w:val="0"/>
                <w:sz w:val="21"/>
                <w:szCs w:val="21"/>
              </w:rPr>
              <w:t>—</w:t>
            </w:r>
          </w:p>
        </w:tc>
        <w:tc>
          <w:tcPr>
            <w:tcW w:w="1423" w:type="dxa"/>
            <w:noWrap w:val="0"/>
            <w:vAlign w:val="center"/>
          </w:tcPr>
          <w:p>
            <w:pPr>
              <w:adjustRightInd w:val="0"/>
              <w:snapToGrid w:val="0"/>
              <w:spacing w:line="300" w:lineRule="exact"/>
              <w:jc w:val="center"/>
              <w:rPr>
                <w:sz w:val="21"/>
                <w:szCs w:val="21"/>
              </w:rPr>
            </w:pPr>
            <w:r>
              <w:rPr>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noWrap w:val="0"/>
            <w:vAlign w:val="center"/>
          </w:tcPr>
          <w:p>
            <w:pPr>
              <w:adjustRightInd w:val="0"/>
              <w:snapToGrid w:val="0"/>
              <w:spacing w:line="300" w:lineRule="exact"/>
              <w:jc w:val="center"/>
              <w:rPr>
                <w:sz w:val="21"/>
                <w:szCs w:val="21"/>
              </w:rPr>
            </w:pPr>
            <w:r>
              <w:rPr>
                <w:rFonts w:hint="eastAsia"/>
                <w:sz w:val="21"/>
                <w:szCs w:val="21"/>
              </w:rPr>
              <w:t>1</w:t>
            </w:r>
            <w:r>
              <w:rPr>
                <w:sz w:val="21"/>
                <w:szCs w:val="21"/>
              </w:rPr>
              <w:t>8</w:t>
            </w:r>
          </w:p>
        </w:tc>
        <w:tc>
          <w:tcPr>
            <w:tcW w:w="1179" w:type="dxa"/>
            <w:noWrap w:val="0"/>
            <w:vAlign w:val="center"/>
          </w:tcPr>
          <w:p>
            <w:pPr>
              <w:adjustRightInd w:val="0"/>
              <w:snapToGrid w:val="0"/>
              <w:spacing w:line="300" w:lineRule="exact"/>
              <w:jc w:val="center"/>
              <w:rPr>
                <w:sz w:val="21"/>
                <w:szCs w:val="21"/>
              </w:rPr>
            </w:pPr>
            <w:r>
              <w:rPr>
                <w:sz w:val="21"/>
                <w:szCs w:val="21"/>
              </w:rPr>
              <w:t>农业农村环境监管</w:t>
            </w:r>
          </w:p>
        </w:tc>
        <w:tc>
          <w:tcPr>
            <w:tcW w:w="2359" w:type="dxa"/>
            <w:noWrap w:val="0"/>
            <w:vAlign w:val="center"/>
          </w:tcPr>
          <w:p>
            <w:pPr>
              <w:adjustRightInd w:val="0"/>
              <w:snapToGrid w:val="0"/>
              <w:spacing w:line="300" w:lineRule="exact"/>
              <w:jc w:val="center"/>
              <w:rPr>
                <w:sz w:val="21"/>
                <w:szCs w:val="21"/>
              </w:rPr>
            </w:pPr>
            <w:r>
              <w:rPr>
                <w:sz w:val="21"/>
                <w:szCs w:val="21"/>
              </w:rPr>
              <w:t>生态保护红线面积</w:t>
            </w:r>
            <w:r>
              <w:rPr>
                <w:rFonts w:hint="eastAsia"/>
                <w:sz w:val="21"/>
                <w:szCs w:val="21"/>
              </w:rPr>
              <w:t>（平方公里）</w:t>
            </w:r>
          </w:p>
        </w:tc>
        <w:tc>
          <w:tcPr>
            <w:tcW w:w="1532" w:type="dxa"/>
            <w:noWrap w:val="0"/>
            <w:vAlign w:val="center"/>
          </w:tcPr>
          <w:p>
            <w:pPr>
              <w:adjustRightInd w:val="0"/>
              <w:snapToGrid w:val="0"/>
              <w:spacing w:line="300" w:lineRule="exact"/>
              <w:jc w:val="center"/>
              <w:rPr>
                <w:sz w:val="21"/>
                <w:szCs w:val="21"/>
              </w:rPr>
            </w:pPr>
            <w:r>
              <w:rPr>
                <w:kern w:val="0"/>
                <w:sz w:val="21"/>
                <w:szCs w:val="21"/>
              </w:rPr>
              <w:t>—</w:t>
            </w:r>
          </w:p>
        </w:tc>
        <w:tc>
          <w:tcPr>
            <w:tcW w:w="1298" w:type="dxa"/>
            <w:noWrap w:val="0"/>
            <w:vAlign w:val="center"/>
          </w:tcPr>
          <w:p>
            <w:pPr>
              <w:adjustRightInd w:val="0"/>
              <w:snapToGrid w:val="0"/>
              <w:spacing w:line="300" w:lineRule="exact"/>
              <w:jc w:val="center"/>
              <w:rPr>
                <w:sz w:val="21"/>
                <w:szCs w:val="21"/>
              </w:rPr>
            </w:pPr>
            <w:r>
              <w:rPr>
                <w:sz w:val="21"/>
                <w:szCs w:val="21"/>
              </w:rPr>
              <w:t>150.33</w:t>
            </w:r>
          </w:p>
        </w:tc>
        <w:tc>
          <w:tcPr>
            <w:tcW w:w="1298" w:type="dxa"/>
            <w:noWrap w:val="0"/>
            <w:vAlign w:val="center"/>
          </w:tcPr>
          <w:p>
            <w:pPr>
              <w:adjustRightInd w:val="0"/>
              <w:snapToGrid w:val="0"/>
              <w:spacing w:line="300" w:lineRule="exact"/>
              <w:jc w:val="center"/>
              <w:rPr>
                <w:sz w:val="21"/>
                <w:szCs w:val="21"/>
              </w:rPr>
            </w:pPr>
            <w:r>
              <w:rPr>
                <w:sz w:val="21"/>
                <w:szCs w:val="21"/>
              </w:rPr>
              <w:t>150.33</w:t>
            </w:r>
          </w:p>
        </w:tc>
        <w:tc>
          <w:tcPr>
            <w:tcW w:w="1423" w:type="dxa"/>
            <w:noWrap w:val="0"/>
            <w:vAlign w:val="center"/>
          </w:tcPr>
          <w:p>
            <w:pPr>
              <w:adjustRightInd w:val="0"/>
              <w:snapToGrid w:val="0"/>
              <w:spacing w:line="300" w:lineRule="exact"/>
              <w:jc w:val="center"/>
              <w:rPr>
                <w:sz w:val="21"/>
                <w:szCs w:val="21"/>
              </w:rPr>
            </w:pPr>
            <w:r>
              <w:rPr>
                <w:sz w:val="21"/>
                <w:szCs w:val="21"/>
              </w:rPr>
              <w:t>150.33</w:t>
            </w:r>
          </w:p>
        </w:tc>
      </w:tr>
    </w:tbl>
    <w:p>
      <w:pPr>
        <w:rPr>
          <w:szCs w:val="32"/>
        </w:rPr>
        <w:sectPr>
          <w:footerReference r:id="rId3" w:type="default"/>
          <w:footerReference r:id="rId4" w:type="even"/>
          <w:pgSz w:w="11905" w:h="16838"/>
          <w:pgMar w:top="2098" w:right="1474" w:bottom="1984" w:left="1587" w:header="851" w:footer="1474" w:gutter="0"/>
          <w:paperSrc/>
          <w:pgNumType w:fmt="numberInDash"/>
          <w:cols w:space="720" w:num="1"/>
          <w:rtlGutter w:val="0"/>
          <w:docGrid w:type="linesAndChars" w:linePitch="579" w:charSpace="-849"/>
        </w:sectPr>
      </w:pPr>
    </w:p>
    <w:p>
      <w:pPr>
        <w:pStyle w:val="14"/>
        <w:jc w:val="both"/>
        <w:rPr>
          <w:rFonts w:ascii="Times New Roman" w:hAnsi="Times New Roman"/>
          <w:color w:val="000000"/>
          <w:sz w:val="36"/>
          <w:szCs w:val="36"/>
        </w:rPr>
      </w:pPr>
      <w:bookmarkStart w:id="4" w:name="_Toc535487615"/>
      <w:r>
        <w:rPr>
          <w:rFonts w:ascii="Times New Roman" w:hAnsi="Times New Roman"/>
          <w:color w:val="000000"/>
        </w:rPr>
        <w:t xml:space="preserve">附表2 </w:t>
      </w:r>
      <w:bookmarkEnd w:id="4"/>
      <w:r>
        <w:rPr>
          <w:rFonts w:hint="eastAsia" w:ascii="Times New Roman" w:hAnsi="Times New Roman"/>
          <w:color w:val="000000"/>
          <w:lang w:val="en-US" w:eastAsia="zh-CN"/>
        </w:rPr>
        <w:t xml:space="preserve">     </w:t>
      </w:r>
      <w:r>
        <w:rPr>
          <w:rFonts w:hint="eastAsia" w:ascii="Times New Roman" w:hAnsi="Times New Roman"/>
          <w:color w:val="000000"/>
          <w:sz w:val="36"/>
          <w:szCs w:val="36"/>
          <w:lang w:val="en-US" w:eastAsia="zh-CN"/>
        </w:rPr>
        <w:t xml:space="preserve"> </w:t>
      </w:r>
      <w:r>
        <w:rPr>
          <w:rFonts w:hint="eastAsia" w:ascii="Times New Roman" w:hAnsi="Times New Roman"/>
          <w:color w:val="000000"/>
          <w:sz w:val="36"/>
          <w:szCs w:val="36"/>
        </w:rPr>
        <w:t>重庆市</w:t>
      </w:r>
      <w:r>
        <w:rPr>
          <w:rFonts w:hint="eastAsia" w:ascii="Times New Roman" w:hAnsi="Times New Roman"/>
          <w:color w:val="000000"/>
          <w:sz w:val="36"/>
          <w:szCs w:val="36"/>
          <w:lang w:eastAsia="zh-CN"/>
        </w:rPr>
        <w:t>北碚区</w:t>
      </w:r>
      <w:r>
        <w:rPr>
          <w:rFonts w:hint="eastAsia" w:ascii="Times New Roman" w:hAnsi="Times New Roman"/>
          <w:color w:val="000000"/>
          <w:sz w:val="36"/>
          <w:szCs w:val="36"/>
        </w:rPr>
        <w:t>农业农村污染治理攻坚战行动计划实施方案重点任务表</w:t>
      </w:r>
    </w:p>
    <w:tbl>
      <w:tblPr>
        <w:tblStyle w:val="1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98"/>
        <w:gridCol w:w="3118"/>
        <w:gridCol w:w="3158"/>
        <w:gridCol w:w="279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blHeader/>
          <w:jc w:val="center"/>
        </w:trPr>
        <w:tc>
          <w:tcPr>
            <w:tcW w:w="6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序号</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重点任务</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任务内容</w:t>
            </w:r>
          </w:p>
        </w:tc>
        <w:tc>
          <w:tcPr>
            <w:tcW w:w="2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牵头部门</w:t>
            </w:r>
          </w:p>
        </w:tc>
        <w:tc>
          <w:tcPr>
            <w:tcW w:w="20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参与部门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blHeader/>
          <w:jc w:val="center"/>
        </w:trPr>
        <w:tc>
          <w:tcPr>
            <w:tcW w:w="6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b/>
                <w:bCs/>
                <w:kern w:val="0"/>
                <w:sz w:val="21"/>
                <w:szCs w:val="21"/>
              </w:rPr>
            </w:pP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b/>
                <w:bCs/>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2019年</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2020年</w:t>
            </w:r>
          </w:p>
        </w:tc>
        <w:tc>
          <w:tcPr>
            <w:tcW w:w="27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b/>
                <w:bCs/>
                <w:kern w:val="0"/>
                <w:sz w:val="21"/>
                <w:szCs w:val="21"/>
              </w:rPr>
            </w:pPr>
          </w:p>
        </w:tc>
        <w:tc>
          <w:tcPr>
            <w:tcW w:w="20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174"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b/>
                <w:kern w:val="0"/>
                <w:sz w:val="21"/>
                <w:szCs w:val="21"/>
              </w:rPr>
            </w:pPr>
            <w:r>
              <w:rPr>
                <w:b/>
                <w:kern w:val="0"/>
                <w:sz w:val="21"/>
                <w:szCs w:val="21"/>
              </w:rPr>
              <w:t>（一）加强农村饮用水水源保护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持续推进饮用水水源地规范化建设</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完成</w:t>
            </w:r>
            <w:r>
              <w:rPr>
                <w:rFonts w:hint="eastAsia"/>
                <w:kern w:val="0"/>
                <w:sz w:val="21"/>
                <w:szCs w:val="21"/>
              </w:rPr>
              <w:t>5</w:t>
            </w:r>
            <w:r>
              <w:rPr>
                <w:kern w:val="0"/>
                <w:sz w:val="21"/>
                <w:szCs w:val="21"/>
              </w:rPr>
              <w:t>个水源地规范化建设</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完成9个水源地规</w:t>
            </w:r>
            <w:r>
              <w:rPr>
                <w:kern w:val="0"/>
                <w:sz w:val="21"/>
                <w:szCs w:val="21"/>
              </w:rPr>
              <w:t>范化建设</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kern w:val="0"/>
                <w:sz w:val="21"/>
                <w:szCs w:val="21"/>
              </w:rPr>
              <w:t>区水利局</w:t>
            </w: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2</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提高乡镇集中式饮用水水源地水质达标率</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加强集中式饮用水水源保护区管理，依法清理保护区内违法建筑和排污口，乡镇集中式饮用水水源地水质达标率达到86%以上。</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区水利局</w:t>
            </w: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3</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提高农村居民饮用水水源保护意识</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kern w:val="0"/>
                <w:sz w:val="21"/>
                <w:szCs w:val="21"/>
              </w:rPr>
              <w:t>将饮用水水源保护要求和村民应承担的保护责任纳入村规民约</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4</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加强</w:t>
            </w:r>
            <w:r>
              <w:rPr>
                <w:kern w:val="0"/>
                <w:sz w:val="21"/>
                <w:szCs w:val="21"/>
              </w:rPr>
              <w:t>农村饮用水</w:t>
            </w:r>
            <w:r>
              <w:rPr>
                <w:rFonts w:hint="eastAsia"/>
                <w:kern w:val="0"/>
                <w:sz w:val="21"/>
                <w:szCs w:val="21"/>
              </w:rPr>
              <w:t>水质监测和评估</w:t>
            </w:r>
            <w:r>
              <w:rPr>
                <w:kern w:val="0"/>
                <w:sz w:val="21"/>
                <w:szCs w:val="21"/>
              </w:rPr>
              <w:t>。</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rFonts w:hint="eastAsia"/>
                <w:kern w:val="0"/>
                <w:sz w:val="21"/>
                <w:szCs w:val="21"/>
              </w:rPr>
              <w:t>开展农村饮用水水源水质监测和评估，并定期向社会公开。</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w:t>
            </w:r>
            <w:r>
              <w:rPr>
                <w:rFonts w:hint="eastAsia"/>
                <w:kern w:val="0"/>
                <w:sz w:val="21"/>
                <w:szCs w:val="21"/>
              </w:rPr>
              <w:t>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5</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rFonts w:hint="eastAsia"/>
                <w:kern w:val="0"/>
                <w:sz w:val="21"/>
                <w:szCs w:val="21"/>
              </w:rPr>
              <w:t>开展供水单位、用户龙头水出水水质监测和评估，并定期向社会公开用户龙头水水质监测情况。</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区卫生健康委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6</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提高</w:t>
            </w:r>
            <w:r>
              <w:rPr>
                <w:kern w:val="0"/>
                <w:sz w:val="21"/>
                <w:szCs w:val="21"/>
              </w:rPr>
              <w:t>农村供水保证</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推进农村饮水安全巩固提升工程，加强农村饮用水取水、制水、供水水质全过程监管，落实水源保护、工程建设、水质监测检测“三同时”制度，到2020年，农村供水保证率达到90%以上</w:t>
            </w:r>
            <w:r>
              <w:rPr>
                <w:rFonts w:hint="eastAsia"/>
                <w:kern w:val="0"/>
                <w:sz w:val="21"/>
                <w:szCs w:val="21"/>
              </w:rPr>
              <w:t>。</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区水利局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区卫生健康委</w:t>
            </w: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7</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kern w:val="0"/>
                <w:sz w:val="21"/>
                <w:szCs w:val="21"/>
              </w:rPr>
              <w:t>加强饮用水水源监测</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供水人口在10000人或日供水1000吨以上的饮用水水源每季度监测一次，供水人口在1000人以上的农村集中式饮用水水源每年监测一次。</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kern w:val="0"/>
                <w:sz w:val="21"/>
                <w:szCs w:val="21"/>
              </w:rPr>
              <w:t>区</w:t>
            </w:r>
            <w:r>
              <w:rPr>
                <w:rFonts w:hint="eastAsia"/>
                <w:kern w:val="0"/>
                <w:sz w:val="21"/>
                <w:szCs w:val="21"/>
              </w:rPr>
              <w:t>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8</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提升农村饮用水水源信息化监管水平</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配合市生态环境局建设完成人口在1000人以上的农村集中式饮用水水源地环境信息管理平台。</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9</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开展农村饮用水水源地保护区环境风险排查</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以供水人口在10000人或日供水1000吨以上的饮用水水源地保护区为重点，</w:t>
            </w:r>
            <w:r>
              <w:rPr>
                <w:kern w:val="0"/>
                <w:sz w:val="21"/>
                <w:szCs w:val="21"/>
              </w:rPr>
              <w:t>加大对影响农村饮用水水源环境安全的化工、造纸、冶炼、制药等风险源和生活污水垃圾、畜禽养殖等风险源进行排查；清理集中式饮用水水源保护区内违法建筑和排污口；取缔或搬迁保护区范围内的货运码头、餐饮船舶。</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区水利局</w:t>
            </w: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174"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b/>
                <w:kern w:val="0"/>
                <w:sz w:val="21"/>
                <w:szCs w:val="21"/>
              </w:rPr>
            </w:pPr>
            <w:r>
              <w:rPr>
                <w:b/>
                <w:kern w:val="0"/>
                <w:sz w:val="21"/>
                <w:szCs w:val="21"/>
              </w:rPr>
              <w:t>（二）加快推进农村生活垃圾治理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10</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建立全区农村生活垃圾治理长效管理机制。</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建立健全“有完备的设施设备、有成熟的治理技术、有稳定的保洁队伍、有完善的监管制度、有长效的资金保障”等“五有”生活垃圾收运处置体系</w:t>
            </w:r>
            <w:r>
              <w:rPr>
                <w:kern w:val="0"/>
                <w:sz w:val="21"/>
                <w:szCs w:val="21"/>
              </w:rPr>
              <w:t>，农村生活垃圾治理形成长效管理机制。</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区城管局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r>
              <w:rPr>
                <w:rFonts w:hint="eastAsia"/>
                <w:kern w:val="0"/>
                <w:sz w:val="21"/>
                <w:szCs w:val="21"/>
              </w:rPr>
              <w:t>、区财政局</w:t>
            </w:r>
            <w:r>
              <w:rPr>
                <w:rFonts w:hint="eastAsia"/>
                <w:kern w:val="0"/>
                <w:sz w:val="21"/>
                <w:szCs w:val="21"/>
                <w:lang w:eastAsia="zh-CN"/>
              </w:rPr>
              <w:t>、</w:t>
            </w: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11</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完善村保洁制度。</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rFonts w:hint="eastAsia"/>
                <w:kern w:val="0"/>
                <w:sz w:val="21"/>
                <w:szCs w:val="21"/>
              </w:rPr>
              <w:t>严格落实《北碚区农村人居环境整治村庄清洁行动检查评分办法》，建立稳定的保洁队伍和专业清运队伍，确保农村生活垃圾定点收集、定时清运、无害化处理和资源化利用保持村内环境整洁。</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1</w:t>
            </w:r>
            <w:r>
              <w:rPr>
                <w:kern w:val="0"/>
                <w:sz w:val="21"/>
                <w:szCs w:val="21"/>
              </w:rPr>
              <w:t>2</w:t>
            </w:r>
          </w:p>
        </w:tc>
        <w:tc>
          <w:tcPr>
            <w:tcW w:w="2398"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rFonts w:hint="eastAsia"/>
                <w:kern w:val="0"/>
                <w:sz w:val="21"/>
                <w:szCs w:val="21"/>
              </w:rPr>
              <w:t>巩固农村生活垃圾治理成果</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农村生活垃圾有效治理比例达1</w:t>
            </w:r>
            <w:r>
              <w:rPr>
                <w:kern w:val="0"/>
                <w:sz w:val="21"/>
                <w:szCs w:val="21"/>
              </w:rPr>
              <w:t>00</w:t>
            </w:r>
            <w:r>
              <w:rPr>
                <w:rFonts w:hint="eastAsia"/>
                <w:kern w:val="0"/>
                <w:sz w:val="21"/>
                <w:szCs w:val="21"/>
              </w:rPr>
              <w:t>%。</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区城管局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13</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巩固有效治理成果村37个。</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巩固有效治理成果村38个。</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1</w:t>
            </w:r>
            <w:r>
              <w:rPr>
                <w:kern w:val="0"/>
                <w:sz w:val="21"/>
                <w:szCs w:val="21"/>
              </w:rPr>
              <w:t>4</w:t>
            </w:r>
          </w:p>
        </w:tc>
        <w:tc>
          <w:tcPr>
            <w:tcW w:w="2398"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rFonts w:hint="eastAsia"/>
                <w:kern w:val="0"/>
                <w:sz w:val="21"/>
                <w:szCs w:val="21"/>
              </w:rPr>
              <w:t>推进</w:t>
            </w:r>
            <w:r>
              <w:rPr>
                <w:kern w:val="0"/>
                <w:sz w:val="21"/>
                <w:szCs w:val="21"/>
              </w:rPr>
              <w:t>农村生活垃圾分类</w:t>
            </w:r>
            <w:r>
              <w:rPr>
                <w:rFonts w:hint="eastAsia"/>
                <w:kern w:val="0"/>
                <w:sz w:val="21"/>
                <w:szCs w:val="21"/>
              </w:rPr>
              <w:t>示范村创建</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建成农村生活垃圾分类示范村5个。</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建成农村生活垃圾分类示范村</w:t>
            </w:r>
            <w:r>
              <w:rPr>
                <w:rFonts w:hint="eastAsia"/>
                <w:kern w:val="0"/>
                <w:sz w:val="21"/>
                <w:szCs w:val="21"/>
                <w:lang w:val="en-US" w:eastAsia="zh-CN"/>
              </w:rPr>
              <w:t>1</w:t>
            </w:r>
            <w:r>
              <w:rPr>
                <w:kern w:val="0"/>
                <w:sz w:val="21"/>
                <w:szCs w:val="21"/>
              </w:rPr>
              <w:t>5个。</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区城管局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15</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巩固非正规垃圾堆放点整治成果</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做好农村非正规垃圾堆放点日常监管和维护工作，巩固整治</w:t>
            </w:r>
            <w:r>
              <w:rPr>
                <w:rFonts w:hint="eastAsia"/>
                <w:kern w:val="0"/>
                <w:sz w:val="21"/>
                <w:szCs w:val="21"/>
              </w:rPr>
              <w:t>成果</w:t>
            </w:r>
            <w:r>
              <w:rPr>
                <w:kern w:val="0"/>
                <w:sz w:val="21"/>
                <w:szCs w:val="21"/>
              </w:rPr>
              <w:t>，严防出现新的农村非正规生活垃圾堆放点。</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区城管局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区农业农村委、区住房城乡建委、</w:t>
            </w:r>
            <w:r>
              <w:rPr>
                <w:kern w:val="0"/>
                <w:sz w:val="21"/>
                <w:szCs w:val="21"/>
              </w:rPr>
              <w:t>区生态环境局</w:t>
            </w: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174"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b/>
                <w:kern w:val="0"/>
                <w:sz w:val="21"/>
                <w:szCs w:val="21"/>
              </w:rPr>
            </w:pPr>
            <w:r>
              <w:rPr>
                <w:b/>
                <w:kern w:val="0"/>
                <w:sz w:val="21"/>
                <w:szCs w:val="21"/>
              </w:rPr>
              <w:t>（三）加快推进农村生活污水治理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16</w:t>
            </w:r>
          </w:p>
        </w:tc>
        <w:tc>
          <w:tcPr>
            <w:tcW w:w="2398"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推进农村卫生厕所及无害化公厕改建</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完成4700户厕改及粪污治理</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完成4100户厕改及粪污治理</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区卫生健康委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17</w:t>
            </w:r>
          </w:p>
        </w:tc>
        <w:tc>
          <w:tcPr>
            <w:tcW w:w="239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新建10座农村无害化公厕</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新建10座农村无害化公厕</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区卫生健康委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18</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农村卫生厕所普及率达到89%。</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农村卫生厕所普及率达到95%。</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区卫生健康委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19</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推进镇级建成区污水管网建设</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kern w:val="0"/>
                <w:sz w:val="21"/>
                <w:szCs w:val="21"/>
              </w:rPr>
            </w:pPr>
            <w:r>
              <w:rPr>
                <w:rFonts w:hint="eastAsia"/>
                <w:kern w:val="0"/>
                <w:sz w:val="21"/>
                <w:szCs w:val="21"/>
              </w:rPr>
              <w:t>建设镇级污水管网5公里</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_GBK"/>
                <w:kern w:val="0"/>
                <w:sz w:val="21"/>
                <w:szCs w:val="21"/>
                <w:lang w:eastAsia="zh-CN"/>
              </w:rPr>
            </w:pPr>
            <w:r>
              <w:rPr>
                <w:rFonts w:hint="eastAsia"/>
                <w:kern w:val="0"/>
                <w:sz w:val="21"/>
                <w:szCs w:val="21"/>
                <w:lang w:eastAsia="zh-CN"/>
              </w:rPr>
              <w:t>按市级任务完成</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r>
              <w:rPr>
                <w:kern w:val="0"/>
                <w:sz w:val="21"/>
                <w:szCs w:val="21"/>
              </w:rPr>
              <w:t>区住房城乡建委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2</w:t>
            </w:r>
            <w:r>
              <w:rPr>
                <w:kern w:val="0"/>
                <w:sz w:val="21"/>
                <w:szCs w:val="21"/>
              </w:rPr>
              <w:t>0</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提高农村生活污水处理率</w:t>
            </w:r>
            <w:r>
              <w:rPr>
                <w:kern w:val="0"/>
                <w:sz w:val="21"/>
                <w:szCs w:val="21"/>
              </w:rPr>
              <w:t>。</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rFonts w:hint="eastAsia"/>
                <w:kern w:val="0"/>
                <w:sz w:val="21"/>
                <w:szCs w:val="21"/>
              </w:rPr>
              <w:t>开展农村聚集点和分散农户的污水治理，农村生活污水处理率达到80%以上。</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w:t>
            </w:r>
            <w:r>
              <w:rPr>
                <w:rFonts w:hint="eastAsia"/>
                <w:kern w:val="0"/>
                <w:sz w:val="21"/>
                <w:szCs w:val="21"/>
              </w:rPr>
              <w:t>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2</w:t>
            </w:r>
            <w:r>
              <w:rPr>
                <w:kern w:val="0"/>
                <w:sz w:val="21"/>
                <w:szCs w:val="21"/>
              </w:rPr>
              <w:t>1</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建立农村生活污水处理长效机制</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kern w:val="0"/>
                <w:sz w:val="21"/>
                <w:szCs w:val="21"/>
              </w:rPr>
            </w:pPr>
            <w:r>
              <w:rPr>
                <w:kern w:val="0"/>
                <w:sz w:val="21"/>
                <w:szCs w:val="21"/>
              </w:rPr>
              <w:t>实行农村生活污水处理设施统一规划、统一建设、统一管理，建立长效运管机制。</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区住房城乡建委、区城管局、区规划自然资源局、区农业农村委、各街镇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4174"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b/>
                <w:kern w:val="0"/>
                <w:sz w:val="21"/>
                <w:szCs w:val="21"/>
              </w:rPr>
            </w:pPr>
            <w:r>
              <w:rPr>
                <w:b/>
                <w:kern w:val="0"/>
                <w:sz w:val="21"/>
                <w:szCs w:val="21"/>
              </w:rPr>
              <w:t>（四）着力解决养殖污染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2</w:t>
            </w:r>
            <w:r>
              <w:rPr>
                <w:kern w:val="0"/>
                <w:sz w:val="21"/>
                <w:szCs w:val="21"/>
              </w:rPr>
              <w:t>2</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强化畜禽养殖区域管理</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全面贯彻落实《重庆市北碚区人民政府办公室关于印发北碚区畜禽养殖禁养区划定调整方案的通知》（北碚府办发〔2018〕111号）（以下简称“禁养区划定方案”）的相关要求，加强畜禽养殖区域管理。</w:t>
            </w:r>
            <w:r>
              <w:rPr>
                <w:kern w:val="0"/>
                <w:sz w:val="21"/>
                <w:szCs w:val="21"/>
              </w:rPr>
              <w:t xml:space="preserve"> </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2</w:t>
            </w:r>
            <w:r>
              <w:rPr>
                <w:kern w:val="0"/>
                <w:sz w:val="21"/>
                <w:szCs w:val="21"/>
              </w:rPr>
              <w:t>3</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养殖生产清洁化和产业模式生态化</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实施畜禽养殖清洁生产管理，推广节水、节料等清洁养殖工艺和干清粪、微生物发酵等实用技术，实现源头减量。严禁在禁养区内从事畜禽养殖等污染水体的行为。</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2</w:t>
            </w:r>
            <w:r>
              <w:rPr>
                <w:kern w:val="0"/>
                <w:sz w:val="21"/>
                <w:szCs w:val="21"/>
              </w:rPr>
              <w:t>4</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严格规范兽药、饲料添加剂的生产和使用，严厉打击生产企业违法违规使用兽用抗菌药物的行为。</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区市场监管局、区科技局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2</w:t>
            </w:r>
            <w:r>
              <w:rPr>
                <w:kern w:val="0"/>
                <w:sz w:val="21"/>
                <w:szCs w:val="21"/>
              </w:rPr>
              <w:t>5</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完成畜禽养殖废弃物资源化利用整治任务。</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按照“一场一策、一场一档”的原则和全区畜禽养殖废弃物资源化利用实施计划的要求，完成本辖区 20 头生猪当量以上的畜禽养殖场（户）的畜禽养殖废弃物资源化利用整治任务。</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2</w:t>
            </w:r>
            <w:r>
              <w:rPr>
                <w:kern w:val="0"/>
                <w:sz w:val="21"/>
                <w:szCs w:val="21"/>
              </w:rPr>
              <w:t>6</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加强畜禽养殖粪污资源化利用考核</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将全区畜禽规模养殖场、养殖专业户信息录入重庆市畜禽养殖环保基础信息系统，加强畜禽养殖粪污资源化利用考核。</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2</w:t>
            </w:r>
            <w:r>
              <w:rPr>
                <w:kern w:val="0"/>
                <w:sz w:val="21"/>
                <w:szCs w:val="21"/>
              </w:rPr>
              <w:t>7</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建设畜禽养殖污染治理设施（万头存栏生猪当量）</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完成1</w:t>
            </w:r>
            <w:r>
              <w:rPr>
                <w:kern w:val="0"/>
                <w:sz w:val="21"/>
                <w:szCs w:val="21"/>
              </w:rPr>
              <w:t>000</w:t>
            </w:r>
            <w:r>
              <w:rPr>
                <w:rFonts w:hint="eastAsia"/>
                <w:kern w:val="0"/>
                <w:sz w:val="21"/>
                <w:szCs w:val="21"/>
              </w:rPr>
              <w:t>头生猪当量的畜禽粪污治理任务。</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完成1000头生猪当量的畜禽粪污治理任务。</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区生态环境局、各街镇等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2</w:t>
            </w:r>
            <w:r>
              <w:rPr>
                <w:kern w:val="0"/>
                <w:sz w:val="21"/>
                <w:szCs w:val="21"/>
              </w:rPr>
              <w:t>8</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提高畜禽养殖废弃物综合利用率</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畜禽养殖废物综合利用率达到7</w:t>
            </w:r>
            <w:r>
              <w:rPr>
                <w:kern w:val="0"/>
                <w:sz w:val="21"/>
                <w:szCs w:val="21"/>
              </w:rPr>
              <w:t>5</w:t>
            </w:r>
            <w:r>
              <w:rPr>
                <w:rFonts w:hint="eastAsia"/>
                <w:kern w:val="0"/>
                <w:sz w:val="21"/>
                <w:szCs w:val="21"/>
              </w:rPr>
              <w:t>%以上。</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2</w:t>
            </w:r>
            <w:r>
              <w:rPr>
                <w:kern w:val="0"/>
                <w:sz w:val="21"/>
                <w:szCs w:val="21"/>
              </w:rPr>
              <w:t>9</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完善规模养殖场粪污处理设施</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规模养殖场粪污处理设施装备配套率达到100%。</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0</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强化畜禽养殖环境监管</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严格落实畜禽规模养殖环境影响评价制度和排污许可制度，对“未批先建”、“批建不符”、无证排污或不按证排污等环境违法行为，加大查处力度。</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1</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加强对畜禽养殖场粪污处理记录、运输和资源化利用等情况的检查，防止粪污偷运偷排。</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2</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配合市农业农村委完善畜禽养殖场直联直报信息系统，构建统一管理、分级使用、共享直联的管理平台。</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3</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b/>
                <w:kern w:val="0"/>
                <w:sz w:val="21"/>
                <w:szCs w:val="21"/>
              </w:rPr>
            </w:pPr>
            <w:r>
              <w:rPr>
                <w:rFonts w:hint="eastAsia"/>
                <w:kern w:val="0"/>
                <w:sz w:val="21"/>
                <w:szCs w:val="21"/>
              </w:rPr>
              <w:t>严格执行畜禽养殖污染物减排核算制度，将符合有关标准和要求的还田量作为统计污染物削减的重要依据。</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4</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构建种养循环发展机制</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建立科学规范、权责清晰、约束有力的畜禽养殖废弃物资源化利用制度，构建种养循环发展机制。</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 xml:space="preserve">区农业农村委 </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区发展改革委、区财政局、区生态环境局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5</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加强水产养殖污染防治</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严格执行北碚区水产养殖“三区划定”的相关管理规定。</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3</w:t>
            </w:r>
            <w:r>
              <w:rPr>
                <w:kern w:val="0"/>
                <w:sz w:val="21"/>
                <w:szCs w:val="21"/>
              </w:rPr>
              <w:t>6</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江河湖库以及三峡库区 175 米水位淹没区内禁止采用网箱及投放化肥、粪便、动物尸体（肢体、内脏）、动物源性饲料等污染水体的方式从事水产养殖。</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7</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推进水产生态健康养殖，实施水产养殖池塘标准化改造。</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8</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强化水生生态保护</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加强水生生物资源养护，严格对涉水工程的管理，落实生态补偿措施，降低涉水工程对水生生态环境的影响。</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区生态环境局、区财政局、各街镇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3</w:t>
            </w:r>
            <w:r>
              <w:rPr>
                <w:kern w:val="0"/>
                <w:sz w:val="21"/>
                <w:szCs w:val="21"/>
              </w:rPr>
              <w:t>9</w:t>
            </w:r>
          </w:p>
        </w:tc>
        <w:tc>
          <w:tcPr>
            <w:tcW w:w="239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推进嘉陵江北碚段渔民退捕转产，实施渔业资源增殖流放。</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区水利局、区生态环境局、各街镇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kern w:val="0"/>
                <w:sz w:val="21"/>
                <w:szCs w:val="21"/>
              </w:rPr>
              <w:t>40</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按照市级统一部署，开展生物多样性调查和评估，建立完善的北碚区物种资源数据库。实施重点水域生态修复、珍稀濒危物种拯救与救护等工作。</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按照市级统一部署，防范外来物种入侵工作，建立外来生物入侵数据库和信息系统，完善外来入侵物种阻截体系。</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区水利局、区生态环境局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174"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b/>
                <w:kern w:val="0"/>
                <w:sz w:val="21"/>
                <w:szCs w:val="21"/>
              </w:rPr>
            </w:pPr>
            <w:r>
              <w:rPr>
                <w:b/>
                <w:kern w:val="0"/>
                <w:sz w:val="21"/>
                <w:szCs w:val="21"/>
              </w:rPr>
              <w:t>（五）有效防控种植业污染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4</w:t>
            </w:r>
            <w:r>
              <w:rPr>
                <w:kern w:val="0"/>
                <w:sz w:val="21"/>
                <w:szCs w:val="21"/>
              </w:rPr>
              <w:t>1</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实施化肥减量增效行动</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主要农作物化肥使用量实现负增长，化肥利用率达到40%以上，测土配方施肥技术推广覆盖率达到93%。</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4</w:t>
            </w:r>
            <w:r>
              <w:rPr>
                <w:kern w:val="0"/>
                <w:sz w:val="21"/>
                <w:szCs w:val="21"/>
              </w:rPr>
              <w:t>2</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实施农药减量增效行动</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农药利用率达到40%以上，主要农作物绿色防控覆盖率达30%。</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4</w:t>
            </w:r>
            <w:r>
              <w:rPr>
                <w:kern w:val="0"/>
                <w:sz w:val="21"/>
                <w:szCs w:val="21"/>
              </w:rPr>
              <w:t>3</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实现秸秆综合利用</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加强秸秆露天禁烧宣传，强化执法检查，建立区级、街镇、村社三级秸秆禁烧工作责任制和督查问责机制。</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4</w:t>
            </w:r>
            <w:r>
              <w:rPr>
                <w:kern w:val="0"/>
                <w:sz w:val="21"/>
                <w:szCs w:val="21"/>
              </w:rPr>
              <w:t>4</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农作物秸秆综合利用率达到 85%。</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4</w:t>
            </w:r>
            <w:r>
              <w:rPr>
                <w:kern w:val="0"/>
                <w:sz w:val="21"/>
                <w:szCs w:val="21"/>
              </w:rPr>
              <w:t>5</w:t>
            </w:r>
          </w:p>
        </w:tc>
        <w:tc>
          <w:tcPr>
            <w:tcW w:w="2398"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开展废弃农膜区域回收利用</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严格执行农膜使用标准和技术规范，打击非法生产、销售不合格农膜行为。</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区市场监管局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4</w:t>
            </w:r>
            <w:r>
              <w:rPr>
                <w:kern w:val="0"/>
                <w:sz w:val="21"/>
                <w:szCs w:val="21"/>
              </w:rPr>
              <w:t>6</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推广加厚和可降解地膜，健全回收贮运和综合利用网络，农膜回收率达到 80%。</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区供销联社</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区农业农村委、区科技局、区经济信息委、区商务委、各街镇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4</w:t>
            </w:r>
            <w:r>
              <w:rPr>
                <w:kern w:val="0"/>
                <w:sz w:val="21"/>
                <w:szCs w:val="21"/>
              </w:rPr>
              <w:t>7</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推进种植业产业模式生态化</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推进无公害农产品、绿色食品、有机农产品和地理标志农产品生产基地建设，到 2020 年，有效期内“三品一标”农产品</w:t>
            </w:r>
            <w:r>
              <w:rPr>
                <w:kern w:val="0"/>
                <w:sz w:val="21"/>
                <w:szCs w:val="21"/>
              </w:rPr>
              <w:t>80</w:t>
            </w:r>
            <w:r>
              <w:rPr>
                <w:rFonts w:hint="eastAsia"/>
                <w:kern w:val="0"/>
                <w:sz w:val="21"/>
                <w:szCs w:val="21"/>
              </w:rPr>
              <w:t>个以上，“三品一标”产值占比提高40%以上。</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区科技局、区商务局、区财政局、区市场监管局、区发展改革委、各街镇等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48</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推进农业节水灌溉</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改善灌溉面积2 万亩，实施重点水源建设和高效节水灌溉工程。</w:t>
            </w:r>
          </w:p>
        </w:tc>
        <w:tc>
          <w:tcPr>
            <w:tcW w:w="2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区水利局</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4</w:t>
            </w:r>
            <w:r>
              <w:rPr>
                <w:kern w:val="0"/>
                <w:sz w:val="21"/>
                <w:szCs w:val="21"/>
              </w:rPr>
              <w:t>9</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优化水资源配置，着力解决工程性缺水问题，新建小一型水库1座，完成1 座中型水库扩建项目前期工作。</w:t>
            </w:r>
          </w:p>
        </w:tc>
        <w:tc>
          <w:tcPr>
            <w:tcW w:w="27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5</w:t>
            </w:r>
            <w:r>
              <w:rPr>
                <w:kern w:val="0"/>
                <w:sz w:val="21"/>
                <w:szCs w:val="21"/>
              </w:rPr>
              <w:t>0</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农田有效灌溉面积供水保证率达75%，农田灌溉水有效利用系数达到0.511</w:t>
            </w:r>
          </w:p>
        </w:tc>
        <w:tc>
          <w:tcPr>
            <w:tcW w:w="27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5</w:t>
            </w:r>
            <w:r>
              <w:rPr>
                <w:kern w:val="0"/>
                <w:sz w:val="21"/>
                <w:szCs w:val="21"/>
              </w:rPr>
              <w:t>1</w:t>
            </w:r>
          </w:p>
        </w:tc>
        <w:tc>
          <w:tcPr>
            <w:tcW w:w="2398"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实施耕地分类管理</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有序推进农用地土壤环境质量类别划定，2020年建立农用地分类清单。</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5</w:t>
            </w:r>
            <w:r>
              <w:rPr>
                <w:kern w:val="0"/>
                <w:sz w:val="21"/>
                <w:szCs w:val="21"/>
              </w:rPr>
              <w:t>2</w:t>
            </w:r>
          </w:p>
        </w:tc>
        <w:tc>
          <w:tcPr>
            <w:tcW w:w="239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制定受污染耕地安全利用方案。</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实施受污染耕地安全利用方案。</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5</w:t>
            </w:r>
            <w:r>
              <w:rPr>
                <w:kern w:val="0"/>
                <w:sz w:val="21"/>
                <w:szCs w:val="21"/>
              </w:rPr>
              <w:t>3</w:t>
            </w:r>
          </w:p>
        </w:tc>
        <w:tc>
          <w:tcPr>
            <w:tcW w:w="239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制定实施重度污染耕地种植结构调整或退耕还林还草计划，完成市级下达耕地污染修复任务。</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区林业局、各街镇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5</w:t>
            </w:r>
            <w:r>
              <w:rPr>
                <w:kern w:val="0"/>
                <w:sz w:val="21"/>
                <w:szCs w:val="21"/>
              </w:rPr>
              <w:t>4</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编制农产品禁止生产区划定工作方案。</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逐步完善全区耕地农产品禁止生产区划定，逐步建成农产品禁止生产区管理体系</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55</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开展重金属重点行业企业排查整治</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严格执行重庆市工业项目环境准入规定，新建涉重金属排放项目应在工业园区内选址建设。</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区经济信息委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56</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加强涉重金属行业污染防控，严格控制重金属污染物排放增量，进一步落实重金属风险防控措施，完成重点行业重点重金属减排项目和年度目标任务。</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5</w:t>
            </w:r>
            <w:r>
              <w:rPr>
                <w:kern w:val="0"/>
                <w:sz w:val="21"/>
                <w:szCs w:val="21"/>
              </w:rPr>
              <w:t>7</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严厉打击涉重金属企业非法排污行为，切断污染物进入农田的途径。</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5</w:t>
            </w:r>
            <w:r>
              <w:rPr>
                <w:kern w:val="0"/>
                <w:sz w:val="21"/>
                <w:szCs w:val="21"/>
              </w:rPr>
              <w:t>8</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对难以有效切断重金属污染途径，且土壤重金属污染严重、农产品重金属超标问题突出的耕地，要及时划入严格管控类，实施严格管控措施，降低农产品重金属超标风险。</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174"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b/>
                <w:kern w:val="0"/>
                <w:sz w:val="21"/>
                <w:szCs w:val="21"/>
              </w:rPr>
            </w:pPr>
            <w:r>
              <w:rPr>
                <w:b/>
                <w:kern w:val="0"/>
                <w:sz w:val="21"/>
                <w:szCs w:val="21"/>
              </w:rPr>
              <w:t>（六）提升农村环境监管能力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59</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开展生态保护红</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线勘界定标和监</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管平台建设。</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启动生态保护红线勘界定标工作。</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完成全区所有勘界定标工作。</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kern w:val="0"/>
                <w:sz w:val="21"/>
                <w:szCs w:val="21"/>
              </w:rPr>
              <w:t>60</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配合市生态环境局完成生态保护红线监管平台建设。</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1</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建立生态保护红线数据库和台账系统。</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建立生态保护红线数据库和台账系统，组织开展全区评价、考核工作。建立对各区级部门、街镇及园区管委会的生态保护红线管控绩效评价制度。</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完善生态保护红线数据库和台账系统，开展评价、考核试点工作。健全对各区级部门、街镇及园区管委会的生态保护红线管控绩效评价制度。</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 xml:space="preserve">区生态环境局 </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区发展改革委、区</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财政局、区委</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组织部、区纪委监委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2</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生态保护红线管控</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生态保护红线内禁止城镇化和工业化活动，生态保护红线内现存的耕地不得擅自扩大规模。在嘉陵江及重要湖泊、重要河口的敏感区域内，严禁以任何形式围垦河湖、违法占用河湖水域，严格管控沿河环湖农业面源污染。</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区规划自然资源局、区农业农村委、各街镇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3</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实施农业产业准入负面清单制度</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针对农业资源与生态环境突出问题，建立农业产业准入负面清单制度，因地制宜制定禁止和限制发展产业目录，明确种植业、养殖业发展方向和开发强度，强化准入管理和底线约束。</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区林业局、区规划自然资源局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4</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完善“区—部门—街镇—村”四级网格化监管网络</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落实污染源属地监管职责，加强基层执法力量，强化网格间的联动机制，针对问题及时反馈处理，形成全覆盖的生态环保执法体系，切实有效保障辖区环境安全</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区公安分局、各街镇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5</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依法打击破坏农业生态环境的违法行为</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通过对农村生态环境违法行为进行整治，加大违法行为的查处力度，保持打击生态环境违法高压态势，依法打击破坏农业生态环境的违法行为，提高违法成本和惩罚标准。</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区公安分局、各街镇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6</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推进环境公益诉讼</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畅通司法救济渠道，稳妥推进环境公益诉讼。</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区法院、区检察院</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7</w:t>
            </w:r>
          </w:p>
        </w:tc>
        <w:tc>
          <w:tcPr>
            <w:tcW w:w="2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健全农村环境监测网络体系建设</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编制《北碚区农村环境监测网络建设工作实施方案》，构建农业农村生态环境监测体系</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8</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结合现有环境监测网络和农村环境质量试点监测工作，加强对农村集中式饮用水水源、日处理能力20立方米及以上的农村生活污水处理设施出水和畜禽规模养殖场排污口的水质监测。</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r>
              <w:rPr>
                <w:rFonts w:hint="eastAsia"/>
                <w:kern w:val="0"/>
                <w:sz w:val="21"/>
                <w:szCs w:val="21"/>
              </w:rPr>
              <w:t>6</w:t>
            </w:r>
            <w:r>
              <w:rPr>
                <w:kern w:val="0"/>
                <w:sz w:val="21"/>
                <w:szCs w:val="21"/>
              </w:rPr>
              <w:t>9</w:t>
            </w:r>
          </w:p>
        </w:tc>
        <w:tc>
          <w:tcPr>
            <w:tcW w:w="2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推进土壤、水环境监测网络向街镇、村延伸，强化农产品集中区土壤环境质量监测、跨乡镇行政区域断面水环境质量监测，逐步实现农村生态环境监测全覆盖。</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7</w:t>
            </w:r>
            <w:r>
              <w:rPr>
                <w:kern w:val="0"/>
                <w:sz w:val="21"/>
                <w:szCs w:val="21"/>
              </w:rPr>
              <w:t>0</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加强街镇基层环保能力建设</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落实街镇环保人员配置保障，每个街镇不得少于2名，实行乡镇环境员持证上岗制度，逐步实现乡镇环境员监测采样资格和环境执法资格全覆盖。</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区公安分局、各街镇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7</w:t>
            </w:r>
            <w:r>
              <w:rPr>
                <w:kern w:val="0"/>
                <w:sz w:val="21"/>
                <w:szCs w:val="21"/>
              </w:rPr>
              <w:t>1</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深入生态文明制度改革试点</w:t>
            </w:r>
          </w:p>
        </w:tc>
        <w:tc>
          <w:tcPr>
            <w:tcW w:w="6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深入推进领导干部自然资源资产离任审计改革试点。</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区审计局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7</w:t>
            </w:r>
            <w:r>
              <w:rPr>
                <w:kern w:val="0"/>
                <w:sz w:val="21"/>
                <w:szCs w:val="21"/>
              </w:rPr>
              <w:t>2</w:t>
            </w:r>
          </w:p>
        </w:tc>
        <w:tc>
          <w:tcPr>
            <w:tcW w:w="23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实施生态环境损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害赔偿制度改革。</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kern w:val="0"/>
                <w:sz w:val="21"/>
                <w:szCs w:val="21"/>
              </w:rPr>
            </w:pP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贯彻落实生态环境损害赔偿制度改革实施方案，按照市级统一部署，建立和完善生态环境损害赔偿制度改革配套制度。</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kern w:val="0"/>
                <w:sz w:val="21"/>
                <w:szCs w:val="21"/>
              </w:rPr>
            </w:pPr>
            <w:r>
              <w:rPr>
                <w:rFonts w:hint="eastAsia"/>
                <w:kern w:val="0"/>
                <w:sz w:val="21"/>
                <w:szCs w:val="21"/>
              </w:rPr>
              <w:t>在全区范围内构建生态环境损害</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kern w:val="0"/>
                <w:sz w:val="21"/>
                <w:szCs w:val="21"/>
              </w:rPr>
            </w:pPr>
            <w:r>
              <w:rPr>
                <w:rFonts w:hint="eastAsia"/>
                <w:kern w:val="0"/>
                <w:sz w:val="21"/>
                <w:szCs w:val="21"/>
              </w:rPr>
              <w:t>赔偿制度。</w:t>
            </w:r>
          </w:p>
        </w:tc>
        <w:tc>
          <w:tcPr>
            <w:tcW w:w="27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区生态环境局</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kern w:val="0"/>
                <w:sz w:val="21"/>
                <w:szCs w:val="21"/>
              </w:rPr>
            </w:pPr>
            <w:r>
              <w:rPr>
                <w:rFonts w:hint="eastAsia"/>
                <w:kern w:val="0"/>
                <w:sz w:val="21"/>
                <w:szCs w:val="21"/>
              </w:rPr>
              <w:t>区纪委监委、区发展改革委、区检察院、区法院</w:t>
            </w:r>
          </w:p>
        </w:tc>
      </w:tr>
    </w:tbl>
    <w:p>
      <w:pPr>
        <w:tabs>
          <w:tab w:val="left" w:pos="4283"/>
        </w:tabs>
        <w:ind w:firstLine="723"/>
        <w:jc w:val="center"/>
        <w:rPr>
          <w:b/>
          <w:color w:val="000000"/>
          <w:sz w:val="36"/>
        </w:rPr>
      </w:pPr>
    </w:p>
    <w:p>
      <w:pPr>
        <w:tabs>
          <w:tab w:val="left" w:pos="4283"/>
        </w:tabs>
        <w:ind w:firstLine="723"/>
        <w:jc w:val="center"/>
        <w:rPr>
          <w:b/>
          <w:color w:val="000000"/>
          <w:sz w:val="36"/>
        </w:rPr>
      </w:pPr>
    </w:p>
    <w:p>
      <w:pPr>
        <w:rPr>
          <w:szCs w:val="32"/>
        </w:rPr>
        <w:sectPr>
          <w:pgSz w:w="16838" w:h="11905" w:orient="landscape"/>
          <w:pgMar w:top="1440" w:right="1440" w:bottom="1134" w:left="1440" w:header="851" w:footer="992" w:gutter="0"/>
          <w:pgNumType w:fmt="numberInDash"/>
          <w:cols w:space="720" w:num="1"/>
          <w:docGrid w:type="lines" w:linePitch="444" w:charSpace="0"/>
        </w:sectPr>
      </w:pPr>
    </w:p>
    <w:p>
      <w:pPr>
        <w:pStyle w:val="14"/>
        <w:jc w:val="both"/>
        <w:rPr>
          <w:rFonts w:ascii="Times New Roman" w:hAnsi="Times New Roman"/>
          <w:color w:val="000000"/>
          <w:sz w:val="36"/>
          <w:szCs w:val="36"/>
        </w:rPr>
      </w:pPr>
      <w:bookmarkStart w:id="5" w:name="_Toc535487616"/>
      <w:r>
        <w:rPr>
          <w:rFonts w:ascii="Times New Roman" w:hAnsi="Times New Roman"/>
          <w:color w:val="000000"/>
        </w:rPr>
        <w:t xml:space="preserve">附表3 </w:t>
      </w:r>
      <w:r>
        <w:rPr>
          <w:rFonts w:hint="eastAsia" w:ascii="Times New Roman" w:hAnsi="Times New Roman"/>
          <w:color w:val="000000"/>
          <w:lang w:val="en-US" w:eastAsia="zh-CN"/>
        </w:rPr>
        <w:t xml:space="preserve">    </w:t>
      </w:r>
      <w:r>
        <w:rPr>
          <w:rFonts w:hint="eastAsia" w:ascii="Times New Roman" w:hAnsi="Times New Roman"/>
          <w:color w:val="000000"/>
          <w:sz w:val="36"/>
          <w:szCs w:val="36"/>
        </w:rPr>
        <w:t>重庆市</w:t>
      </w:r>
      <w:r>
        <w:rPr>
          <w:rFonts w:hint="eastAsia" w:ascii="Times New Roman" w:hAnsi="Times New Roman"/>
          <w:color w:val="000000"/>
          <w:sz w:val="36"/>
          <w:szCs w:val="36"/>
          <w:lang w:eastAsia="zh-CN"/>
        </w:rPr>
        <w:t>北碚区</w:t>
      </w:r>
      <w:r>
        <w:rPr>
          <w:rFonts w:hint="eastAsia" w:ascii="Times New Roman" w:hAnsi="Times New Roman"/>
          <w:color w:val="000000"/>
          <w:sz w:val="36"/>
          <w:szCs w:val="36"/>
        </w:rPr>
        <w:t>农业农村污染治理攻坚战行动计划实施方案</w:t>
      </w:r>
      <w:r>
        <w:rPr>
          <w:rFonts w:ascii="Times New Roman" w:hAnsi="Times New Roman"/>
          <w:color w:val="000000"/>
          <w:sz w:val="36"/>
          <w:szCs w:val="36"/>
        </w:rPr>
        <w:t>重点项目表</w:t>
      </w:r>
      <w:bookmarkEnd w:id="5"/>
    </w:p>
    <w:tbl>
      <w:tblPr>
        <w:tblStyle w:val="16"/>
        <w:tblW w:w="14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77"/>
        <w:gridCol w:w="2552"/>
        <w:gridCol w:w="4535"/>
        <w:gridCol w:w="1701"/>
        <w:gridCol w:w="2270"/>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jc w:val="center"/>
        </w:trPr>
        <w:tc>
          <w:tcPr>
            <w:tcW w:w="749"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序号</w:t>
            </w:r>
          </w:p>
        </w:tc>
        <w:tc>
          <w:tcPr>
            <w:tcW w:w="1177"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项目类别</w:t>
            </w:r>
          </w:p>
        </w:tc>
        <w:tc>
          <w:tcPr>
            <w:tcW w:w="2552"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项目名称</w:t>
            </w:r>
          </w:p>
        </w:tc>
        <w:tc>
          <w:tcPr>
            <w:tcW w:w="4535"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项目建设内容</w:t>
            </w:r>
          </w:p>
        </w:tc>
        <w:tc>
          <w:tcPr>
            <w:tcW w:w="1701"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牵头部门</w:t>
            </w:r>
          </w:p>
        </w:tc>
        <w:tc>
          <w:tcPr>
            <w:tcW w:w="2270"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参与部门</w:t>
            </w:r>
          </w:p>
        </w:tc>
        <w:tc>
          <w:tcPr>
            <w:tcW w:w="1992" w:type="dxa"/>
            <w:noWrap w:val="0"/>
            <w:vAlign w:val="center"/>
          </w:tcPr>
          <w:p>
            <w:pPr>
              <w:widowControl/>
              <w:adjustRightInd w:val="0"/>
              <w:snapToGrid w:val="0"/>
              <w:spacing w:line="300" w:lineRule="exact"/>
              <w:jc w:val="center"/>
              <w:rPr>
                <w:rFonts w:hint="eastAsia" w:ascii="方正黑体_GBK" w:hAnsi="方正黑体_GBK" w:eastAsia="方正黑体_GBK" w:cs="方正黑体_GBK"/>
                <w:b w:val="0"/>
                <w:bCs/>
                <w:color w:val="000000"/>
                <w:kern w:val="0"/>
                <w:sz w:val="21"/>
                <w:szCs w:val="21"/>
              </w:rPr>
            </w:pPr>
            <w:r>
              <w:rPr>
                <w:rFonts w:hint="eastAsia" w:ascii="方正黑体_GBK" w:hAnsi="方正黑体_GBK" w:eastAsia="方正黑体_GBK" w:cs="方正黑体_GBK"/>
                <w:b w:val="0"/>
                <w:bCs/>
                <w:color w:val="000000"/>
                <w:kern w:val="0"/>
                <w:sz w:val="21"/>
                <w:szCs w:val="21"/>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4976" w:type="dxa"/>
            <w:gridSpan w:val="7"/>
            <w:noWrap w:val="0"/>
            <w:vAlign w:val="center"/>
          </w:tcPr>
          <w:p>
            <w:pPr>
              <w:widowControl/>
              <w:adjustRightInd w:val="0"/>
              <w:snapToGrid w:val="0"/>
              <w:spacing w:line="300" w:lineRule="exact"/>
              <w:rPr>
                <w:b/>
                <w:bCs/>
                <w:color w:val="000000"/>
                <w:kern w:val="0"/>
                <w:sz w:val="21"/>
                <w:szCs w:val="21"/>
              </w:rPr>
            </w:pPr>
            <w:r>
              <w:rPr>
                <w:rFonts w:hint="eastAsia"/>
                <w:b/>
                <w:kern w:val="0"/>
                <w:sz w:val="21"/>
                <w:szCs w:val="21"/>
              </w:rPr>
              <w:t>（一）加强农村饮用水水源保护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1</w:t>
            </w:r>
          </w:p>
        </w:tc>
        <w:tc>
          <w:tcPr>
            <w:tcW w:w="1177"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饮用水源保护</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饮用水水源地规范化建设</w:t>
            </w:r>
          </w:p>
        </w:tc>
        <w:tc>
          <w:tcPr>
            <w:tcW w:w="4535" w:type="dxa"/>
            <w:noWrap w:val="0"/>
            <w:vAlign w:val="center"/>
          </w:tcPr>
          <w:p>
            <w:pPr>
              <w:widowControl/>
              <w:adjustRightInd w:val="0"/>
              <w:snapToGrid w:val="0"/>
              <w:spacing w:line="300" w:lineRule="exact"/>
              <w:jc w:val="left"/>
              <w:rPr>
                <w:color w:val="000000"/>
                <w:kern w:val="0"/>
                <w:sz w:val="21"/>
                <w:szCs w:val="21"/>
              </w:rPr>
            </w:pPr>
            <w:r>
              <w:rPr>
                <w:rFonts w:hint="eastAsia"/>
                <w:color w:val="000000"/>
                <w:kern w:val="0"/>
                <w:sz w:val="21"/>
                <w:szCs w:val="21"/>
              </w:rPr>
              <w:t>完成</w:t>
            </w:r>
            <w:r>
              <w:rPr>
                <w:color w:val="000000"/>
                <w:kern w:val="0"/>
                <w:sz w:val="21"/>
                <w:szCs w:val="21"/>
              </w:rPr>
              <w:t>14</w:t>
            </w:r>
            <w:r>
              <w:rPr>
                <w:rFonts w:hint="eastAsia"/>
                <w:color w:val="000000"/>
                <w:kern w:val="0"/>
                <w:sz w:val="21"/>
                <w:szCs w:val="21"/>
              </w:rPr>
              <w:t>个饮用水水源地保护区划定，设立保护区界标、交通警示牌和宣传牌等标志。</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区生态环境局</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区水利局、各街镇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2</w:t>
            </w:r>
            <w:r>
              <w:rPr>
                <w:color w:val="000000"/>
                <w:kern w:val="0"/>
                <w:sz w:val="21"/>
                <w:szCs w:val="21"/>
              </w:rPr>
              <w:t>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76" w:type="dxa"/>
            <w:gridSpan w:val="7"/>
            <w:noWrap w:val="0"/>
            <w:vAlign w:val="center"/>
          </w:tcPr>
          <w:p>
            <w:pPr>
              <w:widowControl/>
              <w:adjustRightInd w:val="0"/>
              <w:snapToGrid w:val="0"/>
              <w:spacing w:line="300" w:lineRule="exact"/>
              <w:jc w:val="left"/>
              <w:rPr>
                <w:color w:val="000000"/>
                <w:kern w:val="0"/>
                <w:sz w:val="21"/>
                <w:szCs w:val="21"/>
              </w:rPr>
            </w:pPr>
            <w:r>
              <w:rPr>
                <w:rFonts w:hint="eastAsia"/>
                <w:b/>
                <w:kern w:val="0"/>
                <w:sz w:val="21"/>
                <w:szCs w:val="21"/>
              </w:rPr>
              <w:t>（二）加快推进农村生活垃圾治理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w:t>
            </w:r>
          </w:p>
        </w:tc>
        <w:tc>
          <w:tcPr>
            <w:tcW w:w="1177"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农村生活垃圾有效治理</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巩固农村生活垃圾有效治理成果</w:t>
            </w:r>
          </w:p>
        </w:tc>
        <w:tc>
          <w:tcPr>
            <w:tcW w:w="4535" w:type="dxa"/>
            <w:noWrap w:val="0"/>
            <w:vAlign w:val="center"/>
          </w:tcPr>
          <w:p>
            <w:pPr>
              <w:widowControl/>
              <w:adjustRightInd w:val="0"/>
              <w:snapToGrid w:val="0"/>
              <w:spacing w:line="300" w:lineRule="exact"/>
              <w:jc w:val="left"/>
              <w:rPr>
                <w:color w:val="000000"/>
                <w:kern w:val="0"/>
                <w:sz w:val="21"/>
                <w:szCs w:val="21"/>
              </w:rPr>
            </w:pPr>
            <w:r>
              <w:rPr>
                <w:rFonts w:hint="eastAsia"/>
                <w:color w:val="000000"/>
                <w:kern w:val="0"/>
                <w:sz w:val="21"/>
                <w:szCs w:val="21"/>
              </w:rPr>
              <w:t>巩固7</w:t>
            </w:r>
            <w:r>
              <w:rPr>
                <w:color w:val="000000"/>
                <w:kern w:val="0"/>
                <w:sz w:val="21"/>
                <w:szCs w:val="21"/>
              </w:rPr>
              <w:t>5</w:t>
            </w:r>
            <w:r>
              <w:rPr>
                <w:rFonts w:hint="eastAsia"/>
                <w:color w:val="000000"/>
                <w:kern w:val="0"/>
                <w:sz w:val="21"/>
                <w:szCs w:val="21"/>
              </w:rPr>
              <w:t>个行政村生活垃圾有效治理成果。</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区城管局</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2</w:t>
            </w:r>
            <w:r>
              <w:rPr>
                <w:color w:val="000000"/>
                <w:kern w:val="0"/>
                <w:sz w:val="21"/>
                <w:szCs w:val="21"/>
              </w:rPr>
              <w:t>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3</w:t>
            </w:r>
          </w:p>
        </w:tc>
        <w:tc>
          <w:tcPr>
            <w:tcW w:w="1177"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农村生活垃圾分类示范</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农村生活垃圾分类示范村创建</w:t>
            </w:r>
          </w:p>
        </w:tc>
        <w:tc>
          <w:tcPr>
            <w:tcW w:w="4535" w:type="dxa"/>
            <w:noWrap w:val="0"/>
            <w:vAlign w:val="center"/>
          </w:tcPr>
          <w:p>
            <w:pPr>
              <w:widowControl/>
              <w:adjustRightInd w:val="0"/>
              <w:snapToGrid w:val="0"/>
              <w:spacing w:line="300" w:lineRule="exact"/>
              <w:jc w:val="left"/>
              <w:rPr>
                <w:color w:val="000000"/>
                <w:kern w:val="0"/>
                <w:sz w:val="21"/>
                <w:szCs w:val="21"/>
              </w:rPr>
            </w:pPr>
            <w:r>
              <w:rPr>
                <w:rFonts w:hint="eastAsia"/>
                <w:color w:val="000000"/>
                <w:kern w:val="0"/>
                <w:sz w:val="21"/>
                <w:szCs w:val="21"/>
              </w:rPr>
              <w:t>建成</w:t>
            </w:r>
            <w:r>
              <w:rPr>
                <w:color w:val="000000"/>
                <w:kern w:val="0"/>
                <w:sz w:val="21"/>
                <w:szCs w:val="21"/>
              </w:rPr>
              <w:t>10</w:t>
            </w:r>
            <w:r>
              <w:rPr>
                <w:rFonts w:hint="eastAsia"/>
                <w:color w:val="000000"/>
                <w:kern w:val="0"/>
                <w:sz w:val="21"/>
                <w:szCs w:val="21"/>
              </w:rPr>
              <w:t>个农村生活垃圾分类示范村。</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区城管局</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2</w:t>
            </w:r>
            <w:r>
              <w:rPr>
                <w:color w:val="000000"/>
                <w:kern w:val="0"/>
                <w:sz w:val="21"/>
                <w:szCs w:val="21"/>
              </w:rPr>
              <w:t>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76" w:type="dxa"/>
            <w:gridSpan w:val="7"/>
            <w:noWrap w:val="0"/>
            <w:vAlign w:val="center"/>
          </w:tcPr>
          <w:p>
            <w:pPr>
              <w:widowControl/>
              <w:adjustRightInd w:val="0"/>
              <w:snapToGrid w:val="0"/>
              <w:spacing w:line="300" w:lineRule="exact"/>
              <w:jc w:val="left"/>
              <w:rPr>
                <w:color w:val="000000"/>
                <w:kern w:val="0"/>
                <w:sz w:val="21"/>
                <w:szCs w:val="21"/>
              </w:rPr>
            </w:pPr>
            <w:r>
              <w:rPr>
                <w:rFonts w:hint="eastAsia"/>
                <w:b/>
                <w:kern w:val="0"/>
                <w:sz w:val="21"/>
                <w:szCs w:val="21"/>
              </w:rPr>
              <w:t>（三）加快推进农村生活污水治理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4</w:t>
            </w:r>
          </w:p>
        </w:tc>
        <w:tc>
          <w:tcPr>
            <w:tcW w:w="1177" w:type="dxa"/>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农村卫生厕所建设</w:t>
            </w:r>
          </w:p>
        </w:tc>
        <w:tc>
          <w:tcPr>
            <w:tcW w:w="2552"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农村户厕改建、厕所粪污治理和农村公共厕所建设</w:t>
            </w:r>
          </w:p>
        </w:tc>
        <w:tc>
          <w:tcPr>
            <w:tcW w:w="4535"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治理厕所粪污8</w:t>
            </w:r>
            <w:r>
              <w:rPr>
                <w:color w:val="000000"/>
                <w:kern w:val="0"/>
                <w:sz w:val="21"/>
                <w:szCs w:val="21"/>
              </w:rPr>
              <w:t>800</w:t>
            </w:r>
            <w:r>
              <w:rPr>
                <w:rFonts w:hint="eastAsia"/>
                <w:color w:val="000000"/>
                <w:kern w:val="0"/>
                <w:sz w:val="21"/>
                <w:szCs w:val="21"/>
              </w:rPr>
              <w:t>户，新建农村无害化公共厕所2</w:t>
            </w:r>
            <w:r>
              <w:rPr>
                <w:color w:val="000000"/>
                <w:kern w:val="0"/>
                <w:sz w:val="21"/>
                <w:szCs w:val="21"/>
              </w:rPr>
              <w:t>0</w:t>
            </w:r>
            <w:r>
              <w:rPr>
                <w:rFonts w:hint="eastAsia"/>
                <w:color w:val="000000"/>
                <w:kern w:val="0"/>
                <w:sz w:val="21"/>
                <w:szCs w:val="21"/>
              </w:rPr>
              <w:t>座。</w:t>
            </w:r>
          </w:p>
        </w:tc>
        <w:tc>
          <w:tcPr>
            <w:tcW w:w="1701"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区卫生健康委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2</w:t>
            </w:r>
            <w:r>
              <w:rPr>
                <w:color w:val="000000"/>
                <w:kern w:val="0"/>
                <w:sz w:val="21"/>
                <w:szCs w:val="21"/>
              </w:rPr>
              <w:t>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5</w:t>
            </w:r>
          </w:p>
        </w:tc>
        <w:tc>
          <w:tcPr>
            <w:tcW w:w="1177"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生活污水管网建设</w:t>
            </w:r>
          </w:p>
        </w:tc>
        <w:tc>
          <w:tcPr>
            <w:tcW w:w="2552"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镇级污水管网建设</w:t>
            </w:r>
          </w:p>
        </w:tc>
        <w:tc>
          <w:tcPr>
            <w:tcW w:w="4535"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完成5公里镇级污水管网建设。</w:t>
            </w:r>
          </w:p>
        </w:tc>
        <w:tc>
          <w:tcPr>
            <w:tcW w:w="1701" w:type="dxa"/>
            <w:noWrap w:val="0"/>
            <w:vAlign w:val="center"/>
          </w:tcPr>
          <w:p>
            <w:pPr>
              <w:widowControl/>
              <w:adjustRightInd w:val="0"/>
              <w:snapToGrid w:val="0"/>
              <w:spacing w:line="300" w:lineRule="exact"/>
              <w:rPr>
                <w:color w:val="000000"/>
                <w:kern w:val="0"/>
                <w:sz w:val="21"/>
                <w:szCs w:val="21"/>
              </w:rPr>
            </w:pPr>
            <w:r>
              <w:rPr>
                <w:rFonts w:hint="eastAsia"/>
                <w:color w:val="000000"/>
                <w:kern w:val="0"/>
                <w:sz w:val="21"/>
                <w:szCs w:val="21"/>
              </w:rPr>
              <w:t>区生态环境局、区住房城乡建委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w:t>
            </w:r>
          </w:p>
        </w:tc>
        <w:tc>
          <w:tcPr>
            <w:tcW w:w="199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2</w:t>
            </w:r>
            <w:r>
              <w:rPr>
                <w:color w:val="000000"/>
                <w:kern w:val="0"/>
                <w:sz w:val="21"/>
                <w:szCs w:val="21"/>
              </w:rPr>
              <w:t>019</w:t>
            </w:r>
          </w:p>
          <w:p>
            <w:pPr>
              <w:widowControl/>
              <w:adjustRightInd w:val="0"/>
              <w:snapToGrid w:val="0"/>
              <w:spacing w:line="300" w:lineRule="exact"/>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76" w:type="dxa"/>
            <w:gridSpan w:val="7"/>
            <w:noWrap w:val="0"/>
            <w:vAlign w:val="center"/>
          </w:tcPr>
          <w:p>
            <w:pPr>
              <w:widowControl/>
              <w:adjustRightInd w:val="0"/>
              <w:snapToGrid w:val="0"/>
              <w:spacing w:line="300" w:lineRule="exact"/>
              <w:jc w:val="left"/>
              <w:rPr>
                <w:color w:val="000000"/>
                <w:kern w:val="0"/>
                <w:sz w:val="21"/>
                <w:szCs w:val="21"/>
              </w:rPr>
            </w:pPr>
            <w:r>
              <w:rPr>
                <w:rFonts w:hint="eastAsia"/>
                <w:b/>
                <w:kern w:val="0"/>
                <w:sz w:val="21"/>
                <w:szCs w:val="21"/>
              </w:rPr>
              <w:t>（四）着力解决养殖污染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6</w:t>
            </w:r>
          </w:p>
        </w:tc>
        <w:tc>
          <w:tcPr>
            <w:tcW w:w="1177"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畜禽养殖废弃物资源化利用</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畜禽养殖粪污治理</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完成畜禽粪污治理当量2</w:t>
            </w:r>
            <w:r>
              <w:rPr>
                <w:color w:val="000000"/>
                <w:kern w:val="0"/>
                <w:sz w:val="21"/>
                <w:szCs w:val="21"/>
              </w:rPr>
              <w:t>000</w:t>
            </w:r>
            <w:r>
              <w:rPr>
                <w:rFonts w:hint="eastAsia"/>
                <w:color w:val="000000"/>
                <w:kern w:val="0"/>
                <w:sz w:val="21"/>
                <w:szCs w:val="21"/>
              </w:rPr>
              <w:t>头。</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7</w:t>
            </w:r>
          </w:p>
        </w:tc>
        <w:tc>
          <w:tcPr>
            <w:tcW w:w="1177" w:type="dxa"/>
            <w:vMerge w:val="restart"/>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水产养殖污染防治</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禁养区关闭搬迁</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完成禁养区内规模水产养殖场搬迁工作。</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8</w:t>
            </w:r>
          </w:p>
        </w:tc>
        <w:tc>
          <w:tcPr>
            <w:tcW w:w="1177" w:type="dxa"/>
            <w:vMerge w:val="continue"/>
            <w:noWrap w:val="0"/>
            <w:vAlign w:val="center"/>
          </w:tcPr>
          <w:p>
            <w:pPr>
              <w:widowControl/>
              <w:adjustRightInd w:val="0"/>
              <w:snapToGrid w:val="0"/>
              <w:spacing w:line="300" w:lineRule="exact"/>
              <w:rPr>
                <w:rFonts w:hint="eastAsia"/>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限养区污染防治工作</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开展限养区内水产养殖污染防治工作</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9</w:t>
            </w:r>
          </w:p>
        </w:tc>
        <w:tc>
          <w:tcPr>
            <w:tcW w:w="1177" w:type="dxa"/>
            <w:vMerge w:val="restart"/>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水生态保护</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嘉陵江北碚段渔民退捕转产，</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color w:val="000000"/>
                <w:kern w:val="0"/>
                <w:sz w:val="21"/>
                <w:szCs w:val="21"/>
              </w:rPr>
            </w:pPr>
            <w:r>
              <w:rPr>
                <w:rFonts w:hint="eastAsia"/>
                <w:color w:val="000000"/>
                <w:kern w:val="0"/>
                <w:sz w:val="21"/>
                <w:szCs w:val="21"/>
              </w:rPr>
              <w:t>开展嘉陵江北碚段渔民退捕转产工作</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0</w:t>
            </w:r>
          </w:p>
        </w:tc>
        <w:tc>
          <w:tcPr>
            <w:tcW w:w="1177" w:type="dxa"/>
            <w:vMerge w:val="continue"/>
            <w:noWrap w:val="0"/>
            <w:vAlign w:val="center"/>
          </w:tcPr>
          <w:p>
            <w:pPr>
              <w:widowControl/>
              <w:adjustRightInd w:val="0"/>
              <w:snapToGrid w:val="0"/>
              <w:spacing w:line="300" w:lineRule="exact"/>
              <w:jc w:val="center"/>
              <w:rPr>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实施渔业资源增殖放流</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eastAsia"/>
                <w:color w:val="000000"/>
                <w:kern w:val="0"/>
                <w:sz w:val="21"/>
                <w:szCs w:val="21"/>
              </w:rPr>
            </w:pPr>
            <w:r>
              <w:rPr>
                <w:rFonts w:hint="eastAsia"/>
                <w:color w:val="000000"/>
                <w:kern w:val="0"/>
                <w:sz w:val="21"/>
                <w:szCs w:val="21"/>
              </w:rPr>
              <w:t>实施渔业资源增殖放流</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1</w:t>
            </w:r>
          </w:p>
        </w:tc>
        <w:tc>
          <w:tcPr>
            <w:tcW w:w="1177" w:type="dxa"/>
            <w:vMerge w:val="continue"/>
            <w:noWrap w:val="0"/>
            <w:vAlign w:val="center"/>
          </w:tcPr>
          <w:p>
            <w:pPr>
              <w:widowControl/>
              <w:adjustRightInd w:val="0"/>
              <w:snapToGrid w:val="0"/>
              <w:spacing w:line="300" w:lineRule="exact"/>
              <w:jc w:val="center"/>
              <w:rPr>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保护水生生物</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color w:val="000000"/>
                <w:kern w:val="0"/>
                <w:sz w:val="21"/>
                <w:szCs w:val="21"/>
              </w:rPr>
            </w:pPr>
            <w:r>
              <w:rPr>
                <w:rFonts w:hint="eastAsia"/>
                <w:color w:val="000000"/>
                <w:kern w:val="0"/>
                <w:sz w:val="21"/>
                <w:szCs w:val="21"/>
              </w:rPr>
              <w:t>重点水域生态修复、珍稀濒危物种拯救与救护</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76"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color w:val="000000"/>
                <w:kern w:val="0"/>
                <w:sz w:val="21"/>
                <w:szCs w:val="21"/>
              </w:rPr>
            </w:pPr>
            <w:r>
              <w:rPr>
                <w:rFonts w:hint="eastAsia"/>
                <w:b/>
                <w:kern w:val="0"/>
                <w:sz w:val="21"/>
                <w:szCs w:val="21"/>
              </w:rPr>
              <w:t>（五）有效防控种植业污染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2</w:t>
            </w:r>
          </w:p>
        </w:tc>
        <w:tc>
          <w:tcPr>
            <w:tcW w:w="1177" w:type="dxa"/>
            <w:vMerge w:val="restart"/>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化肥减量增效行动</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开展有机肥替代化肥行动。</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color w:val="000000"/>
                <w:kern w:val="0"/>
                <w:sz w:val="21"/>
                <w:szCs w:val="21"/>
              </w:rPr>
            </w:pPr>
            <w:r>
              <w:rPr>
                <w:rFonts w:hint="eastAsia"/>
                <w:color w:val="000000"/>
                <w:kern w:val="0"/>
                <w:sz w:val="21"/>
                <w:szCs w:val="21"/>
              </w:rPr>
              <w:t>围绕粮、果、菜等农作物，开展有机肥替代化肥行动。稳步增加秸秆还田面积、沼液肥用数量、绿肥栽培面积和有机肥应用面积。</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3</w:t>
            </w:r>
          </w:p>
        </w:tc>
        <w:tc>
          <w:tcPr>
            <w:tcW w:w="1177" w:type="dxa"/>
            <w:vMerge w:val="continue"/>
            <w:noWrap w:val="0"/>
            <w:vAlign w:val="center"/>
          </w:tcPr>
          <w:p>
            <w:pPr>
              <w:widowControl/>
              <w:adjustRightInd w:val="0"/>
              <w:snapToGrid w:val="0"/>
              <w:spacing w:line="300" w:lineRule="exact"/>
              <w:jc w:val="center"/>
              <w:rPr>
                <w:rFonts w:hint="eastAsia"/>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加大化肥减量试验示范</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eastAsia"/>
                <w:color w:val="000000"/>
                <w:kern w:val="0"/>
                <w:sz w:val="21"/>
                <w:szCs w:val="21"/>
              </w:rPr>
            </w:pPr>
            <w:r>
              <w:rPr>
                <w:rFonts w:hint="eastAsia"/>
                <w:color w:val="000000"/>
                <w:kern w:val="0"/>
                <w:sz w:val="21"/>
                <w:szCs w:val="21"/>
              </w:rPr>
              <w:t xml:space="preserve">加强资源整合，加大化肥减量示范区（片）建设。 </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4</w:t>
            </w:r>
          </w:p>
        </w:tc>
        <w:tc>
          <w:tcPr>
            <w:tcW w:w="1177"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实施农药减量增效行动</w:t>
            </w: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推进示范带动</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eastAsia"/>
                <w:color w:val="000000"/>
                <w:kern w:val="0"/>
                <w:sz w:val="21"/>
                <w:szCs w:val="21"/>
              </w:rPr>
            </w:pPr>
            <w:r>
              <w:rPr>
                <w:rFonts w:hint="eastAsia"/>
                <w:color w:val="000000"/>
                <w:kern w:val="0"/>
                <w:sz w:val="21"/>
                <w:szCs w:val="21"/>
              </w:rPr>
              <w:t>继续推进全区13个绿色防控和6个统防统治示范片建设，大力宣传展示示范成效，注重示范片的示范和辐射带动作用。</w:t>
            </w:r>
          </w:p>
        </w:tc>
        <w:tc>
          <w:tcPr>
            <w:tcW w:w="1701"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5</w:t>
            </w:r>
          </w:p>
        </w:tc>
        <w:tc>
          <w:tcPr>
            <w:tcW w:w="1177" w:type="dxa"/>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废弃农膜回收利用</w:t>
            </w:r>
          </w:p>
        </w:tc>
        <w:tc>
          <w:tcPr>
            <w:tcW w:w="255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回收、销售、加工为一体的可持续运作的废弃农膜回收处置体系建设</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color w:val="000000"/>
                <w:kern w:val="0"/>
                <w:sz w:val="21"/>
                <w:szCs w:val="21"/>
              </w:rPr>
            </w:pPr>
            <w:r>
              <w:rPr>
                <w:rFonts w:hint="eastAsia"/>
                <w:color w:val="000000"/>
                <w:kern w:val="0"/>
                <w:sz w:val="21"/>
                <w:szCs w:val="21"/>
              </w:rPr>
              <w:t>在东阳街道的回收点建成全区废弃农膜回收项目的储运中心，在全区各涉农街镇设立1个回收点，形成全区废弃农膜回收项目的完整回收体系，开展废弃农膜回收工作。</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区供销联社</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重庆市北碚区中再顺祥再生资源回收有限公司、区商务委、各涉农街镇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6</w:t>
            </w:r>
          </w:p>
        </w:tc>
        <w:tc>
          <w:tcPr>
            <w:tcW w:w="1177" w:type="dxa"/>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种植业产业模式生态化</w:t>
            </w: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“三品一标”认证</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eastAsia"/>
                <w:color w:val="000000"/>
                <w:kern w:val="0"/>
                <w:sz w:val="21"/>
                <w:szCs w:val="21"/>
              </w:rPr>
            </w:pPr>
            <w:r>
              <w:rPr>
                <w:rFonts w:hint="eastAsia"/>
                <w:color w:val="000000"/>
                <w:kern w:val="0"/>
                <w:sz w:val="21"/>
                <w:szCs w:val="21"/>
              </w:rPr>
              <w:t>支持新型农业经营主体开展无公害农产品、绿色食品、有机农产品和农产品地理标志“三品一标”认证；到2020年，农业投入品监管达到市级和国家标准，有效期内“三品一标”达</w:t>
            </w:r>
            <w:r>
              <w:rPr>
                <w:color w:val="000000"/>
                <w:kern w:val="0"/>
                <w:sz w:val="21"/>
                <w:szCs w:val="21"/>
              </w:rPr>
              <w:t>80</w:t>
            </w:r>
            <w:r>
              <w:rPr>
                <w:rFonts w:hint="eastAsia"/>
                <w:color w:val="000000"/>
                <w:kern w:val="0"/>
                <w:sz w:val="21"/>
                <w:szCs w:val="21"/>
              </w:rPr>
              <w:t>个以上，“三品一标”产值占比提高40%以上。</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7</w:t>
            </w:r>
          </w:p>
        </w:tc>
        <w:tc>
          <w:tcPr>
            <w:tcW w:w="1177" w:type="dxa"/>
            <w:vMerge w:val="restart"/>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农业节水灌溉</w:t>
            </w: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加强农田水利设施建设</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eastAsia"/>
                <w:color w:val="000000"/>
                <w:kern w:val="0"/>
                <w:sz w:val="21"/>
                <w:szCs w:val="21"/>
              </w:rPr>
            </w:pPr>
            <w:r>
              <w:rPr>
                <w:rFonts w:hint="eastAsia"/>
                <w:color w:val="000000"/>
                <w:kern w:val="0"/>
                <w:sz w:val="21"/>
                <w:szCs w:val="21"/>
              </w:rPr>
              <w:t>改善灌溉面积2 万亩，全面提高农业生产设施水平。</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rFonts w:hint="eastAsia"/>
                <w:color w:val="000000"/>
                <w:kern w:val="0"/>
                <w:sz w:val="21"/>
                <w:szCs w:val="21"/>
              </w:rPr>
            </w:pPr>
          </w:p>
        </w:tc>
        <w:tc>
          <w:tcPr>
            <w:tcW w:w="1177" w:type="dxa"/>
            <w:vMerge w:val="continue"/>
            <w:noWrap w:val="0"/>
            <w:vAlign w:val="center"/>
          </w:tcPr>
          <w:p>
            <w:pPr>
              <w:widowControl/>
              <w:adjustRightInd w:val="0"/>
              <w:snapToGrid w:val="0"/>
              <w:spacing w:line="300" w:lineRule="exact"/>
              <w:rPr>
                <w:rFonts w:hint="eastAsia"/>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水资源优化配置</w:t>
            </w:r>
          </w:p>
        </w:tc>
        <w:tc>
          <w:tcPr>
            <w:tcW w:w="453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eastAsia"/>
                <w:color w:val="000000"/>
                <w:kern w:val="0"/>
                <w:sz w:val="21"/>
                <w:szCs w:val="21"/>
              </w:rPr>
            </w:pPr>
            <w:r>
              <w:rPr>
                <w:rFonts w:hint="eastAsia"/>
                <w:color w:val="000000"/>
                <w:kern w:val="0"/>
                <w:sz w:val="21"/>
                <w:szCs w:val="21"/>
              </w:rPr>
              <w:t>优化水资源配置，着力解决工程性缺水问题，新建小一型水库1座，完成1 座中型水库扩建项目前期工作。</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区水利局</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w:t>
            </w:r>
          </w:p>
        </w:tc>
        <w:tc>
          <w:tcPr>
            <w:tcW w:w="1992"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2</w:t>
            </w:r>
            <w:r>
              <w:rPr>
                <w:color w:val="000000"/>
                <w:kern w:val="0"/>
                <w:sz w:val="21"/>
                <w:szCs w:val="21"/>
              </w:rPr>
              <w:t>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rFonts w:hint="eastAsia"/>
                <w:color w:val="000000"/>
                <w:kern w:val="0"/>
                <w:sz w:val="21"/>
                <w:szCs w:val="21"/>
              </w:rPr>
              <w:t>1</w:t>
            </w:r>
            <w:r>
              <w:rPr>
                <w:color w:val="000000"/>
                <w:kern w:val="0"/>
                <w:sz w:val="21"/>
                <w:szCs w:val="21"/>
              </w:rPr>
              <w:t>8</w:t>
            </w:r>
          </w:p>
        </w:tc>
        <w:tc>
          <w:tcPr>
            <w:tcW w:w="1177" w:type="dxa"/>
            <w:vMerge w:val="restart"/>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耕地分类管理</w:t>
            </w: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开展农用地和污染地块土壤污染等级划定工作</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配合市级部门开展农用地和污染地块土壤污染等级划定工作，建立全区土壤环境基础数据库，建立土壤环境质量分类清单，编制北碚区土壤环境质量分布图。</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区生态环境局、区规划自然资源局、各街镇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19</w:t>
            </w:r>
          </w:p>
        </w:tc>
        <w:tc>
          <w:tcPr>
            <w:tcW w:w="1177" w:type="dxa"/>
            <w:vMerge w:val="continue"/>
            <w:noWrap w:val="0"/>
            <w:vAlign w:val="center"/>
          </w:tcPr>
          <w:p>
            <w:pPr>
              <w:widowControl/>
              <w:adjustRightInd w:val="0"/>
              <w:snapToGrid w:val="0"/>
              <w:spacing w:line="300" w:lineRule="exact"/>
              <w:rPr>
                <w:rFonts w:hint="eastAsia"/>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优先保护类</w:t>
            </w:r>
          </w:p>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耕地保护项</w:t>
            </w:r>
          </w:p>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目</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1.基于农用地土壤详查结果，对受污染的基本农田制定安全利用方案，实施风险管控。</w:t>
            </w:r>
          </w:p>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2.推进高标准农田建设向优先保护类耕地集中的区域倾斜。</w:t>
            </w:r>
          </w:p>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3.开展优先保护类农用地分布空间范围内的污染风险源排查。</w:t>
            </w:r>
          </w:p>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4.推行农业清洁生产技术推广和服务，实施农业清洁生产项目，实施化</w:t>
            </w:r>
          </w:p>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肥农药使用量零增长行动，推进农业废弃物回收处理。</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区供销联社、区</w:t>
            </w:r>
          </w:p>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生态环境局、区发展改革委、各街镇</w:t>
            </w: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w:t>
            </w:r>
          </w:p>
        </w:tc>
        <w:tc>
          <w:tcPr>
            <w:tcW w:w="1177" w:type="dxa"/>
            <w:vMerge w:val="continue"/>
            <w:noWrap w:val="0"/>
            <w:vAlign w:val="center"/>
          </w:tcPr>
          <w:p>
            <w:pPr>
              <w:widowControl/>
              <w:adjustRightInd w:val="0"/>
              <w:snapToGrid w:val="0"/>
              <w:spacing w:line="300" w:lineRule="exact"/>
              <w:rPr>
                <w:rFonts w:hint="eastAsia"/>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受污染耕地安全利用项目</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制定实施重度污染耕地种植结构调整或退耕还林还草计划，完成市级下达耕地污染修复任务。</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区规划自然资源局、各街镇</w:t>
            </w:r>
          </w:p>
          <w:p>
            <w:pPr>
              <w:widowControl/>
              <w:adjustRightInd w:val="0"/>
              <w:snapToGrid w:val="0"/>
              <w:spacing w:line="300" w:lineRule="exact"/>
              <w:jc w:val="center"/>
              <w:rPr>
                <w:rFonts w:hint="eastAsia"/>
                <w:color w:val="000000"/>
                <w:kern w:val="0"/>
                <w:sz w:val="21"/>
                <w:szCs w:val="21"/>
              </w:rPr>
            </w:pPr>
          </w:p>
        </w:tc>
        <w:tc>
          <w:tcPr>
            <w:tcW w:w="1992" w:type="dxa"/>
            <w:noWrap w:val="0"/>
            <w:vAlign w:val="center"/>
          </w:tcPr>
          <w:p>
            <w:pPr>
              <w:widowControl/>
              <w:adjustRightInd w:val="0"/>
              <w:snapToGrid w:val="0"/>
              <w:spacing w:line="300" w:lineRule="exact"/>
              <w:jc w:val="center"/>
              <w:rPr>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2</w:t>
            </w:r>
            <w:r>
              <w:rPr>
                <w:color w:val="000000"/>
                <w:kern w:val="0"/>
                <w:sz w:val="21"/>
                <w:szCs w:val="21"/>
              </w:rPr>
              <w:t>1</w:t>
            </w:r>
          </w:p>
        </w:tc>
        <w:tc>
          <w:tcPr>
            <w:tcW w:w="1177" w:type="dxa"/>
            <w:noWrap w:val="0"/>
            <w:vAlign w:val="center"/>
          </w:tcPr>
          <w:p>
            <w:pPr>
              <w:widowControl/>
              <w:adjustRightInd w:val="0"/>
              <w:snapToGrid w:val="0"/>
              <w:spacing w:line="300" w:lineRule="exact"/>
              <w:rPr>
                <w:rFonts w:hint="eastAsia"/>
                <w:color w:val="000000"/>
                <w:kern w:val="0"/>
                <w:sz w:val="21"/>
                <w:szCs w:val="21"/>
              </w:rPr>
            </w:pP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开展农产品禁止生产区划定工作</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编制北碚区农产品禁止生产区划定工作方案，逐步完善全区耕地农产品禁止生产区划定，逐步建成农产品禁止生产区管理体系。</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区农业农村委</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区规划自然资源局、各街镇</w:t>
            </w:r>
          </w:p>
        </w:tc>
        <w:tc>
          <w:tcPr>
            <w:tcW w:w="1992" w:type="dxa"/>
            <w:noWrap w:val="0"/>
            <w:vAlign w:val="center"/>
          </w:tcPr>
          <w:p>
            <w:pPr>
              <w:widowControl/>
              <w:adjustRightInd w:val="0"/>
              <w:snapToGrid w:val="0"/>
              <w:spacing w:line="300" w:lineRule="exact"/>
              <w:jc w:val="center"/>
              <w:rPr>
                <w:rFonts w:hint="eastAsia"/>
                <w:color w:val="000000"/>
                <w:kern w:val="0"/>
                <w:sz w:val="21"/>
                <w:szCs w:val="21"/>
              </w:rPr>
            </w:pPr>
            <w:r>
              <w:rPr>
                <w:color w:val="000000"/>
                <w:kern w:val="0"/>
                <w:sz w:val="21"/>
                <w:szCs w:val="21"/>
              </w:rPr>
              <w:t>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76" w:type="dxa"/>
            <w:gridSpan w:val="7"/>
            <w:noWrap w:val="0"/>
            <w:vAlign w:val="center"/>
          </w:tcPr>
          <w:p>
            <w:pPr>
              <w:widowControl/>
              <w:adjustRightInd w:val="0"/>
              <w:snapToGrid w:val="0"/>
              <w:spacing w:line="300" w:lineRule="exact"/>
              <w:jc w:val="left"/>
              <w:rPr>
                <w:rFonts w:hint="eastAsia"/>
                <w:color w:val="000000"/>
                <w:kern w:val="0"/>
                <w:sz w:val="21"/>
                <w:szCs w:val="21"/>
              </w:rPr>
            </w:pPr>
            <w:r>
              <w:rPr>
                <w:rFonts w:hint="eastAsia"/>
                <w:b/>
                <w:kern w:val="0"/>
                <w:sz w:val="21"/>
                <w:szCs w:val="21"/>
              </w:rPr>
              <w:t>（六）提升农业农村环境监管能力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9"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2</w:t>
            </w:r>
            <w:r>
              <w:rPr>
                <w:color w:val="000000"/>
                <w:kern w:val="0"/>
                <w:sz w:val="21"/>
                <w:szCs w:val="21"/>
              </w:rPr>
              <w:t>2</w:t>
            </w:r>
          </w:p>
        </w:tc>
        <w:tc>
          <w:tcPr>
            <w:tcW w:w="1177" w:type="dxa"/>
            <w:noWrap w:val="0"/>
            <w:vAlign w:val="center"/>
          </w:tcPr>
          <w:p>
            <w:pPr>
              <w:widowControl/>
              <w:adjustRightInd w:val="0"/>
              <w:snapToGrid w:val="0"/>
              <w:spacing w:line="300" w:lineRule="exact"/>
              <w:rPr>
                <w:rFonts w:hint="eastAsia"/>
                <w:color w:val="000000"/>
                <w:kern w:val="0"/>
                <w:sz w:val="21"/>
                <w:szCs w:val="21"/>
              </w:rPr>
            </w:pPr>
            <w:r>
              <w:rPr>
                <w:rFonts w:hint="eastAsia"/>
                <w:color w:val="000000"/>
                <w:kern w:val="0"/>
                <w:sz w:val="21"/>
                <w:szCs w:val="21"/>
              </w:rPr>
              <w:t>严守生态保护红线</w:t>
            </w:r>
          </w:p>
        </w:tc>
        <w:tc>
          <w:tcPr>
            <w:tcW w:w="255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生态保护红线勘界定标</w:t>
            </w:r>
          </w:p>
        </w:tc>
        <w:tc>
          <w:tcPr>
            <w:tcW w:w="4535" w:type="dxa"/>
            <w:noWrap w:val="0"/>
            <w:vAlign w:val="center"/>
          </w:tcPr>
          <w:p>
            <w:pPr>
              <w:widowControl/>
              <w:adjustRightInd w:val="0"/>
              <w:snapToGrid w:val="0"/>
              <w:spacing w:line="300" w:lineRule="exact"/>
              <w:jc w:val="left"/>
              <w:rPr>
                <w:rFonts w:hint="eastAsia"/>
                <w:color w:val="000000"/>
                <w:kern w:val="0"/>
                <w:sz w:val="21"/>
                <w:szCs w:val="21"/>
              </w:rPr>
            </w:pPr>
            <w:r>
              <w:rPr>
                <w:rFonts w:hint="eastAsia"/>
                <w:color w:val="000000"/>
                <w:kern w:val="0"/>
                <w:sz w:val="21"/>
                <w:szCs w:val="21"/>
              </w:rPr>
              <w:t>开展完成北碚区生态保护红线勘界工作</w:t>
            </w:r>
          </w:p>
        </w:tc>
        <w:tc>
          <w:tcPr>
            <w:tcW w:w="1701"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区生态环境局</w:t>
            </w:r>
          </w:p>
        </w:tc>
        <w:tc>
          <w:tcPr>
            <w:tcW w:w="2270"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各街镇</w:t>
            </w:r>
          </w:p>
        </w:tc>
        <w:tc>
          <w:tcPr>
            <w:tcW w:w="1992" w:type="dxa"/>
            <w:noWrap w:val="0"/>
            <w:vAlign w:val="center"/>
          </w:tcPr>
          <w:p>
            <w:pPr>
              <w:widowControl/>
              <w:adjustRightInd w:val="0"/>
              <w:snapToGrid w:val="0"/>
              <w:spacing w:line="300" w:lineRule="exact"/>
              <w:jc w:val="center"/>
              <w:rPr>
                <w:rFonts w:hint="eastAsia"/>
                <w:color w:val="000000"/>
                <w:kern w:val="0"/>
                <w:sz w:val="21"/>
                <w:szCs w:val="21"/>
              </w:rPr>
            </w:pPr>
            <w:r>
              <w:rPr>
                <w:rFonts w:hint="eastAsia"/>
                <w:color w:val="000000"/>
                <w:kern w:val="0"/>
                <w:sz w:val="21"/>
                <w:szCs w:val="21"/>
              </w:rPr>
              <w:t>2</w:t>
            </w:r>
            <w:r>
              <w:rPr>
                <w:color w:val="000000"/>
                <w:kern w:val="0"/>
                <w:sz w:val="21"/>
                <w:szCs w:val="21"/>
              </w:rPr>
              <w:t>019-2020</w:t>
            </w:r>
          </w:p>
        </w:tc>
        <w:bookmarkStart w:id="6" w:name="csdw"/>
      </w:tr>
      <w:bookmarkEnd w:id="6"/>
    </w:tbl>
    <w:p>
      <w:pPr>
        <w:pStyle w:val="2"/>
        <w:rPr>
          <w:rFonts w:hint="eastAsia" w:ascii="方正仿宋_GBK"/>
          <w:sz w:val="28"/>
          <w:szCs w:val="28"/>
        </w:rPr>
      </w:pPr>
    </w:p>
    <w:p>
      <w:pPr>
        <w:pStyle w:val="2"/>
        <w:rPr>
          <w:rFonts w:hint="eastAsia" w:ascii="方正仿宋_GBK"/>
          <w:sz w:val="28"/>
          <w:szCs w:val="28"/>
        </w:rPr>
        <w:sectPr>
          <w:headerReference r:id="rId5" w:type="default"/>
          <w:footerReference r:id="rId6" w:type="default"/>
          <w:pgSz w:w="16838" w:h="11905" w:orient="landscape"/>
          <w:pgMar w:top="1587" w:right="2098" w:bottom="1474" w:left="1984" w:header="851" w:footer="1474" w:gutter="0"/>
          <w:paperSrc/>
          <w:pgNumType w:fmt="numberInDash"/>
          <w:cols w:space="720" w:num="1"/>
          <w:rtlGutter w:val="0"/>
          <w:docGrid w:type="linesAndChars" w:linePitch="589" w:charSpace="-849"/>
        </w:sect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rPr>
          <w:rFonts w:hint="eastAsia" w:ascii="方正仿宋_GBK"/>
          <w:sz w:val="28"/>
          <w:szCs w:val="28"/>
        </w:rPr>
      </w:pPr>
    </w:p>
    <w:p>
      <w:pPr>
        <w:pStyle w:val="2"/>
        <w:keepNext w:val="0"/>
        <w:keepLines w:val="0"/>
        <w:pageBreakBefore w:val="0"/>
        <w:widowControl w:val="0"/>
        <w:kinsoku/>
        <w:wordWrap/>
        <w:overflowPunct/>
        <w:topLinePunct w:val="0"/>
        <w:autoSpaceDE/>
        <w:autoSpaceDN/>
        <w:bidi w:val="0"/>
        <w:adjustRightInd/>
        <w:snapToGrid/>
        <w:spacing w:after="120" w:line="240" w:lineRule="exact"/>
        <w:ind w:left="0" w:leftChars="0" w:right="0" w:rightChars="0" w:firstLine="0" w:firstLineChars="0"/>
        <w:jc w:val="both"/>
        <w:textAlignment w:val="auto"/>
        <w:outlineLvl w:val="9"/>
        <w:rPr>
          <w:rFonts w:hint="eastAsia" w:ascii="方正仿宋_GBK"/>
          <w:sz w:val="28"/>
          <w:szCs w:val="28"/>
        </w:rPr>
      </w:pPr>
    </w:p>
    <w:p>
      <w:pPr>
        <w:pStyle w:val="2"/>
        <w:keepNext w:val="0"/>
        <w:keepLines w:val="0"/>
        <w:pageBreakBefore w:val="0"/>
        <w:widowControl w:val="0"/>
        <w:kinsoku/>
        <w:wordWrap/>
        <w:overflowPunct/>
        <w:topLinePunct w:val="0"/>
        <w:autoSpaceDE/>
        <w:autoSpaceDN/>
        <w:bidi w:val="0"/>
        <w:adjustRightInd/>
        <w:snapToGrid/>
        <w:spacing w:after="120" w:line="240" w:lineRule="exact"/>
        <w:ind w:left="0" w:leftChars="0" w:right="0" w:rightChars="0" w:firstLine="0" w:firstLineChars="0"/>
        <w:jc w:val="both"/>
        <w:textAlignment w:val="auto"/>
        <w:outlineLvl w:val="9"/>
        <w:rPr>
          <w:rFonts w:hint="eastAsia" w:ascii="方正仿宋_GBK"/>
          <w:sz w:val="28"/>
          <w:szCs w:val="28"/>
        </w:rPr>
      </w:pPr>
    </w:p>
    <w:p>
      <w:pPr>
        <w:keepNext w:val="0"/>
        <w:keepLines w:val="0"/>
        <w:pageBreakBefore w:val="0"/>
        <w:widowControl w:val="0"/>
        <w:pBdr>
          <w:top w:val="single" w:color="auto" w:sz="4" w:space="1"/>
        </w:pBdr>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方正仿宋_GBK" w:eastAsia="方正仿宋_GBK"/>
          <w:sz w:val="28"/>
          <w:szCs w:val="28"/>
        </w:rPr>
      </w:pPr>
      <w:r>
        <w:rPr>
          <w:rFonts w:hint="eastAsia" w:ascii="方正仿宋_GBK" w:eastAsia="方正仿宋_GBK"/>
          <w:sz w:val="28"/>
          <w:szCs w:val="28"/>
        </w:rPr>
        <w:t>抄送：区委办公室，区人大常委会办公室，区政协办公室，区</w:t>
      </w:r>
      <w:r>
        <w:rPr>
          <w:rFonts w:hint="eastAsia" w:ascii="方正仿宋_GBK" w:eastAsia="方正仿宋_GBK"/>
          <w:sz w:val="28"/>
          <w:szCs w:val="28"/>
          <w:lang w:val="en-US" w:eastAsia="zh-CN"/>
        </w:rPr>
        <w:t>纪委</w:t>
      </w:r>
      <w:r>
        <w:rPr>
          <w:rFonts w:hint="eastAsia" w:ascii="方正仿宋_GBK" w:eastAsia="方正仿宋_GBK"/>
          <w:sz w:val="28"/>
          <w:szCs w:val="28"/>
        </w:rPr>
        <w:t>监</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40" w:lineRule="auto"/>
        <w:ind w:left="0" w:leftChars="0" w:right="0" w:rightChars="0" w:firstLine="1104" w:firstLineChars="400"/>
        <w:jc w:val="both"/>
        <w:textAlignment w:val="auto"/>
        <w:outlineLvl w:val="9"/>
        <w:rPr>
          <w:rFonts w:hint="eastAsia" w:ascii="方正仿宋_GBK" w:eastAsia="方正仿宋_GBK"/>
          <w:sz w:val="28"/>
          <w:szCs w:val="28"/>
        </w:rPr>
      </w:pPr>
      <w:r>
        <w:rPr>
          <w:rFonts w:hint="eastAsia" w:ascii="方正仿宋_GBK" w:eastAsia="方正仿宋_GBK"/>
          <w:sz w:val="28"/>
          <w:szCs w:val="28"/>
        </w:rPr>
        <w:t>委</w:t>
      </w:r>
      <w:r>
        <w:rPr>
          <w:rFonts w:hint="eastAsia" w:ascii="方正仿宋_GBK" w:eastAsia="方正仿宋_GBK"/>
          <w:sz w:val="28"/>
          <w:szCs w:val="28"/>
          <w:lang w:val="en-US" w:eastAsia="zh-CN"/>
        </w:rPr>
        <w:t>机关</w:t>
      </w:r>
      <w:r>
        <w:rPr>
          <w:rFonts w:hint="eastAsia" w:ascii="方正仿宋_GBK" w:eastAsia="方正仿宋_GBK"/>
          <w:sz w:val="28"/>
          <w:szCs w:val="28"/>
        </w:rPr>
        <w:t>，区法院，区检察院，区武装部。</w:t>
      </w:r>
    </w:p>
    <w:p>
      <w:pPr>
        <w:pStyle w:val="2"/>
        <w:pBdr>
          <w:top w:val="single" w:color="auto" w:sz="4" w:space="0"/>
          <w:left w:val="none" w:color="auto" w:sz="0" w:space="0"/>
          <w:bottom w:val="single" w:color="auto" w:sz="4" w:space="0"/>
          <w:right w:val="none" w:color="auto" w:sz="0" w:space="0"/>
          <w:between w:val="none" w:color="auto" w:sz="0" w:space="0"/>
        </w:pBdr>
        <w:ind w:firstLine="276" w:firstLineChars="100"/>
        <w:rPr>
          <w:rFonts w:hint="eastAsia" w:ascii="方正仿宋_GBK"/>
          <w:sz w:val="28"/>
          <w:szCs w:val="28"/>
        </w:rPr>
      </w:pPr>
      <w:r>
        <w:rPr>
          <w:rFonts w:hint="eastAsia" w:ascii="方正仿宋_GBK" w:eastAsia="方正仿宋_GBK"/>
          <w:sz w:val="28"/>
          <w:szCs w:val="28"/>
        </w:rPr>
        <w:t xml:space="preserve">重庆市北碚区人民政府办公室   </w:t>
      </w:r>
      <w:r>
        <w:rPr>
          <w:rFonts w:hint="eastAsia" w:ascii="方正仿宋_GBK" w:eastAsia="方正仿宋_GBK"/>
          <w:sz w:val="28"/>
          <w:szCs w:val="28"/>
          <w:lang w:val="en-US" w:eastAsia="zh-CN"/>
        </w:rPr>
        <w:t xml:space="preserve"> </w:t>
      </w:r>
      <w:r>
        <w:rPr>
          <w:rFonts w:hint="eastAsia" w:ascii="方正仿宋_GBK"/>
          <w:sz w:val="28"/>
          <w:szCs w:val="28"/>
          <w:lang w:val="en-US" w:eastAsia="zh-CN"/>
        </w:rPr>
        <w:t xml:space="preserve">          </w:t>
      </w:r>
      <w:r>
        <w:rPr>
          <w:rFonts w:hint="eastAsia" w:ascii="方正仿宋_GBK" w:eastAsia="方正仿宋_GBK"/>
          <w:sz w:val="28"/>
          <w:szCs w:val="28"/>
        </w:rPr>
        <w:t xml:space="preserve">  2019年</w:t>
      </w:r>
      <w:r>
        <w:rPr>
          <w:rFonts w:hint="eastAsia" w:ascii="方正仿宋_GBK" w:eastAsia="方正仿宋_GBK"/>
          <w:sz w:val="28"/>
          <w:szCs w:val="28"/>
          <w:lang w:val="en-US" w:eastAsia="zh-CN"/>
        </w:rPr>
        <w:t>5</w:t>
      </w:r>
      <w:r>
        <w:rPr>
          <w:rFonts w:hint="eastAsia" w:ascii="方正仿宋_GBK" w:eastAsia="方正仿宋_GBK"/>
          <w:sz w:val="28"/>
          <w:szCs w:val="28"/>
        </w:rPr>
        <w:t>月</w:t>
      </w:r>
      <w:r>
        <w:rPr>
          <w:rFonts w:hint="eastAsia" w:ascii="方正仿宋_GBK" w:eastAsia="方正仿宋_GBK"/>
          <w:sz w:val="28"/>
          <w:szCs w:val="28"/>
          <w:lang w:val="en-US" w:eastAsia="zh-CN"/>
        </w:rPr>
        <w:t>2</w:t>
      </w:r>
      <w:r>
        <w:rPr>
          <w:rFonts w:hint="eastAsia" w:ascii="方正仿宋_GBK"/>
          <w:sz w:val="28"/>
          <w:szCs w:val="28"/>
          <w:lang w:val="en-US" w:eastAsia="zh-CN"/>
        </w:rPr>
        <w:t>1</w:t>
      </w:r>
      <w:r>
        <w:rPr>
          <w:rFonts w:hint="eastAsia" w:ascii="方正仿宋_GBK" w:eastAsia="方正仿宋_GBK"/>
          <w:sz w:val="28"/>
          <w:szCs w:val="28"/>
        </w:rPr>
        <w:t>日印</w:t>
      </w:r>
      <w:r>
        <w:rPr>
          <w:rFonts w:hint="eastAsia" w:ascii="方正仿宋_GBK" w:eastAsia="方正仿宋_GBK"/>
          <w:sz w:val="28"/>
          <w:szCs w:val="28"/>
          <w:lang w:eastAsia="zh-CN"/>
        </w:rPr>
        <w:t>发</w:t>
      </w:r>
    </w:p>
    <w:sectPr>
      <w:pgSz w:w="11905" w:h="16838"/>
      <w:pgMar w:top="2098" w:right="1474" w:bottom="1984" w:left="1587" w:header="851" w:footer="1474" w:gutter="0"/>
      <w:paperSrc/>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方正仿宋_GBK"/>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方正仿宋_GBK"/>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hint="eastAsia" w:ascii="宋体" w:hAnsi="宋体" w:eastAsia="宋体"/>
        <w:sz w:val="28"/>
      </w:rPr>
    </w:pPr>
    <w:r>
      <w:rPr>
        <w:rFonts w:hint="eastAsia" w:ascii="宋体" w:hAnsi="宋体" w:eastAsia="宋体"/>
        <w:sz w:val="28"/>
      </w:rPr>
      <w:t>—</w:t>
    </w:r>
    <w:r>
      <w:rPr>
        <w:rFonts w:ascii="宋体" w:hAnsi="宋体" w:eastAsia="宋体"/>
        <w:sz w:val="28"/>
      </w:rPr>
      <w:fldChar w:fldCharType="begin"/>
    </w:r>
    <w:r>
      <w:rPr>
        <w:rStyle w:val="20"/>
        <w:rFonts w:ascii="宋体" w:hAnsi="宋体" w:eastAsia="宋体"/>
        <w:sz w:val="28"/>
      </w:rPr>
      <w:instrText xml:space="preserve"> PAGE </w:instrText>
    </w:r>
    <w:r>
      <w:rPr>
        <w:rFonts w:ascii="宋体" w:hAnsi="宋体" w:eastAsia="宋体"/>
        <w:sz w:val="28"/>
      </w:rPr>
      <w:fldChar w:fldCharType="separate"/>
    </w:r>
    <w:r>
      <w:rPr>
        <w:rStyle w:val="20"/>
        <w:rFonts w:ascii="宋体" w:hAnsi="宋体" w:eastAsia="宋体"/>
        <w:sz w:val="28"/>
      </w:rPr>
      <w:t>2</w:t>
    </w:r>
    <w:r>
      <w:rPr>
        <w:rFonts w:ascii="宋体" w:hAnsi="宋体" w:eastAsia="宋体"/>
        <w:sz w:val="28"/>
      </w:rPr>
      <w:fldChar w:fldCharType="end"/>
    </w:r>
    <w:r>
      <w:rPr>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方正仿宋_GBK"/>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- 34 -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方正仿宋_GBK"/>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- 34 -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98"/>
    <w:rsid w:val="00002978"/>
    <w:rsid w:val="0000340F"/>
    <w:rsid w:val="00003B34"/>
    <w:rsid w:val="00004EF6"/>
    <w:rsid w:val="0000535E"/>
    <w:rsid w:val="00006F28"/>
    <w:rsid w:val="00007BAD"/>
    <w:rsid w:val="00010A20"/>
    <w:rsid w:val="00010E23"/>
    <w:rsid w:val="000139E9"/>
    <w:rsid w:val="00014CEB"/>
    <w:rsid w:val="00015885"/>
    <w:rsid w:val="00016164"/>
    <w:rsid w:val="00016D69"/>
    <w:rsid w:val="00020184"/>
    <w:rsid w:val="000207B8"/>
    <w:rsid w:val="00021527"/>
    <w:rsid w:val="00021AF0"/>
    <w:rsid w:val="0002235D"/>
    <w:rsid w:val="0002410D"/>
    <w:rsid w:val="00024815"/>
    <w:rsid w:val="00026876"/>
    <w:rsid w:val="00027305"/>
    <w:rsid w:val="00030563"/>
    <w:rsid w:val="0003061D"/>
    <w:rsid w:val="00030F95"/>
    <w:rsid w:val="00031D8F"/>
    <w:rsid w:val="00031E0B"/>
    <w:rsid w:val="0003207A"/>
    <w:rsid w:val="00032445"/>
    <w:rsid w:val="00033055"/>
    <w:rsid w:val="000332F8"/>
    <w:rsid w:val="00033371"/>
    <w:rsid w:val="00033B0C"/>
    <w:rsid w:val="000365DA"/>
    <w:rsid w:val="0003669B"/>
    <w:rsid w:val="000405C4"/>
    <w:rsid w:val="00041048"/>
    <w:rsid w:val="000415F3"/>
    <w:rsid w:val="00041CCD"/>
    <w:rsid w:val="0004306B"/>
    <w:rsid w:val="0004444F"/>
    <w:rsid w:val="00044485"/>
    <w:rsid w:val="00044E8D"/>
    <w:rsid w:val="00045643"/>
    <w:rsid w:val="000458C1"/>
    <w:rsid w:val="00045AC8"/>
    <w:rsid w:val="00046161"/>
    <w:rsid w:val="00047619"/>
    <w:rsid w:val="00047D5B"/>
    <w:rsid w:val="000502B5"/>
    <w:rsid w:val="000503E5"/>
    <w:rsid w:val="00051CED"/>
    <w:rsid w:val="00053197"/>
    <w:rsid w:val="00055352"/>
    <w:rsid w:val="00055E0F"/>
    <w:rsid w:val="0005628B"/>
    <w:rsid w:val="00056F3A"/>
    <w:rsid w:val="0005731B"/>
    <w:rsid w:val="000576D1"/>
    <w:rsid w:val="00057BD6"/>
    <w:rsid w:val="00060662"/>
    <w:rsid w:val="00060A2E"/>
    <w:rsid w:val="00060DE7"/>
    <w:rsid w:val="000614AC"/>
    <w:rsid w:val="00061F01"/>
    <w:rsid w:val="0006274E"/>
    <w:rsid w:val="00063EC2"/>
    <w:rsid w:val="00066485"/>
    <w:rsid w:val="000708B7"/>
    <w:rsid w:val="000716E5"/>
    <w:rsid w:val="00071D21"/>
    <w:rsid w:val="00074BC1"/>
    <w:rsid w:val="00074C9E"/>
    <w:rsid w:val="000756CB"/>
    <w:rsid w:val="0007642B"/>
    <w:rsid w:val="00076AAA"/>
    <w:rsid w:val="00076CBF"/>
    <w:rsid w:val="000778EB"/>
    <w:rsid w:val="00080681"/>
    <w:rsid w:val="00080F51"/>
    <w:rsid w:val="000815DA"/>
    <w:rsid w:val="00081C3F"/>
    <w:rsid w:val="00084A05"/>
    <w:rsid w:val="0008540A"/>
    <w:rsid w:val="00086028"/>
    <w:rsid w:val="000862AB"/>
    <w:rsid w:val="00090DEA"/>
    <w:rsid w:val="00092F06"/>
    <w:rsid w:val="00094133"/>
    <w:rsid w:val="00094EA4"/>
    <w:rsid w:val="00095380"/>
    <w:rsid w:val="000967D3"/>
    <w:rsid w:val="0009772D"/>
    <w:rsid w:val="00097B92"/>
    <w:rsid w:val="000A054F"/>
    <w:rsid w:val="000A2AC1"/>
    <w:rsid w:val="000A3169"/>
    <w:rsid w:val="000A54CD"/>
    <w:rsid w:val="000A7079"/>
    <w:rsid w:val="000A7121"/>
    <w:rsid w:val="000B0611"/>
    <w:rsid w:val="000B0ACF"/>
    <w:rsid w:val="000B0CB3"/>
    <w:rsid w:val="000B1AC0"/>
    <w:rsid w:val="000B37EB"/>
    <w:rsid w:val="000B3890"/>
    <w:rsid w:val="000B3B7A"/>
    <w:rsid w:val="000B4263"/>
    <w:rsid w:val="000B466A"/>
    <w:rsid w:val="000B4E9B"/>
    <w:rsid w:val="000B5E95"/>
    <w:rsid w:val="000B6BE4"/>
    <w:rsid w:val="000B77F3"/>
    <w:rsid w:val="000C0BE2"/>
    <w:rsid w:val="000C0ECF"/>
    <w:rsid w:val="000C2106"/>
    <w:rsid w:val="000C35B7"/>
    <w:rsid w:val="000D0A89"/>
    <w:rsid w:val="000D0FF5"/>
    <w:rsid w:val="000D36AB"/>
    <w:rsid w:val="000D3CE3"/>
    <w:rsid w:val="000D4D52"/>
    <w:rsid w:val="000D64C2"/>
    <w:rsid w:val="000D64D6"/>
    <w:rsid w:val="000D6E74"/>
    <w:rsid w:val="000D740A"/>
    <w:rsid w:val="000E0B78"/>
    <w:rsid w:val="000E0F70"/>
    <w:rsid w:val="000E148D"/>
    <w:rsid w:val="000E42EA"/>
    <w:rsid w:val="000E43ED"/>
    <w:rsid w:val="000E4529"/>
    <w:rsid w:val="000E48BE"/>
    <w:rsid w:val="000F021C"/>
    <w:rsid w:val="000F2381"/>
    <w:rsid w:val="000F2845"/>
    <w:rsid w:val="000F2A70"/>
    <w:rsid w:val="000F2BAD"/>
    <w:rsid w:val="000F3ADF"/>
    <w:rsid w:val="000F4217"/>
    <w:rsid w:val="000F47C0"/>
    <w:rsid w:val="000F4833"/>
    <w:rsid w:val="000F5001"/>
    <w:rsid w:val="000F6332"/>
    <w:rsid w:val="000F63F5"/>
    <w:rsid w:val="000F6DC2"/>
    <w:rsid w:val="000F7B8D"/>
    <w:rsid w:val="00101137"/>
    <w:rsid w:val="00104171"/>
    <w:rsid w:val="001043E0"/>
    <w:rsid w:val="00105E7C"/>
    <w:rsid w:val="00106C9E"/>
    <w:rsid w:val="00107033"/>
    <w:rsid w:val="00110068"/>
    <w:rsid w:val="0011073A"/>
    <w:rsid w:val="001109E1"/>
    <w:rsid w:val="00110DA0"/>
    <w:rsid w:val="00110EF9"/>
    <w:rsid w:val="00117860"/>
    <w:rsid w:val="00120134"/>
    <w:rsid w:val="00120984"/>
    <w:rsid w:val="001214B7"/>
    <w:rsid w:val="00121795"/>
    <w:rsid w:val="00123A24"/>
    <w:rsid w:val="00123B2C"/>
    <w:rsid w:val="001268C3"/>
    <w:rsid w:val="00126E4B"/>
    <w:rsid w:val="00127FC0"/>
    <w:rsid w:val="001300C3"/>
    <w:rsid w:val="00130A57"/>
    <w:rsid w:val="00131C33"/>
    <w:rsid w:val="00131EA9"/>
    <w:rsid w:val="00132F8D"/>
    <w:rsid w:val="001336AE"/>
    <w:rsid w:val="00135BD7"/>
    <w:rsid w:val="00137405"/>
    <w:rsid w:val="0014032E"/>
    <w:rsid w:val="0014088B"/>
    <w:rsid w:val="00141E95"/>
    <w:rsid w:val="001438EC"/>
    <w:rsid w:val="00143F83"/>
    <w:rsid w:val="001440FE"/>
    <w:rsid w:val="0014506E"/>
    <w:rsid w:val="00145C42"/>
    <w:rsid w:val="00147B9D"/>
    <w:rsid w:val="00147C86"/>
    <w:rsid w:val="00150950"/>
    <w:rsid w:val="0015269F"/>
    <w:rsid w:val="00153DFB"/>
    <w:rsid w:val="00154E0B"/>
    <w:rsid w:val="00156698"/>
    <w:rsid w:val="0015702B"/>
    <w:rsid w:val="001570DD"/>
    <w:rsid w:val="001605AE"/>
    <w:rsid w:val="00160ED3"/>
    <w:rsid w:val="001622D5"/>
    <w:rsid w:val="001624B0"/>
    <w:rsid w:val="001636D2"/>
    <w:rsid w:val="00164A03"/>
    <w:rsid w:val="001660CA"/>
    <w:rsid w:val="00170424"/>
    <w:rsid w:val="001741CA"/>
    <w:rsid w:val="00174FD4"/>
    <w:rsid w:val="00175091"/>
    <w:rsid w:val="00175EDF"/>
    <w:rsid w:val="001765FD"/>
    <w:rsid w:val="00181B9E"/>
    <w:rsid w:val="00182878"/>
    <w:rsid w:val="00183B04"/>
    <w:rsid w:val="0018481C"/>
    <w:rsid w:val="00184DF4"/>
    <w:rsid w:val="00185A5A"/>
    <w:rsid w:val="00185D11"/>
    <w:rsid w:val="00190980"/>
    <w:rsid w:val="00191C10"/>
    <w:rsid w:val="001944F4"/>
    <w:rsid w:val="001947CE"/>
    <w:rsid w:val="00196A75"/>
    <w:rsid w:val="00196DF3"/>
    <w:rsid w:val="00197003"/>
    <w:rsid w:val="001970A5"/>
    <w:rsid w:val="001977D9"/>
    <w:rsid w:val="001A007A"/>
    <w:rsid w:val="001A1994"/>
    <w:rsid w:val="001A5ABB"/>
    <w:rsid w:val="001A68F8"/>
    <w:rsid w:val="001A6F6A"/>
    <w:rsid w:val="001A71EC"/>
    <w:rsid w:val="001A780A"/>
    <w:rsid w:val="001B1E60"/>
    <w:rsid w:val="001B6572"/>
    <w:rsid w:val="001B7334"/>
    <w:rsid w:val="001C0930"/>
    <w:rsid w:val="001C1202"/>
    <w:rsid w:val="001C14E6"/>
    <w:rsid w:val="001C364F"/>
    <w:rsid w:val="001C5234"/>
    <w:rsid w:val="001C5F30"/>
    <w:rsid w:val="001D031B"/>
    <w:rsid w:val="001D1703"/>
    <w:rsid w:val="001D2D66"/>
    <w:rsid w:val="001D38BB"/>
    <w:rsid w:val="001D40AA"/>
    <w:rsid w:val="001D5B2E"/>
    <w:rsid w:val="001D65FA"/>
    <w:rsid w:val="001D74E3"/>
    <w:rsid w:val="001E1A44"/>
    <w:rsid w:val="001E241F"/>
    <w:rsid w:val="001E49DA"/>
    <w:rsid w:val="001E4CE9"/>
    <w:rsid w:val="001E4D5E"/>
    <w:rsid w:val="001E5C49"/>
    <w:rsid w:val="001E674F"/>
    <w:rsid w:val="001F1E79"/>
    <w:rsid w:val="001F228E"/>
    <w:rsid w:val="001F384E"/>
    <w:rsid w:val="001F386E"/>
    <w:rsid w:val="001F4151"/>
    <w:rsid w:val="001F4732"/>
    <w:rsid w:val="001F4D7A"/>
    <w:rsid w:val="001F50E9"/>
    <w:rsid w:val="001F52F6"/>
    <w:rsid w:val="001F5D7C"/>
    <w:rsid w:val="001F6CA3"/>
    <w:rsid w:val="001F7990"/>
    <w:rsid w:val="001F7D40"/>
    <w:rsid w:val="0020162E"/>
    <w:rsid w:val="00204775"/>
    <w:rsid w:val="0020574A"/>
    <w:rsid w:val="002058B5"/>
    <w:rsid w:val="00206D55"/>
    <w:rsid w:val="002072C8"/>
    <w:rsid w:val="00207F20"/>
    <w:rsid w:val="002103AE"/>
    <w:rsid w:val="002103D6"/>
    <w:rsid w:val="002120E1"/>
    <w:rsid w:val="00213A20"/>
    <w:rsid w:val="0021447D"/>
    <w:rsid w:val="00214528"/>
    <w:rsid w:val="00215DB9"/>
    <w:rsid w:val="00216639"/>
    <w:rsid w:val="00217016"/>
    <w:rsid w:val="00222EFA"/>
    <w:rsid w:val="00223992"/>
    <w:rsid w:val="002239DB"/>
    <w:rsid w:val="002261CC"/>
    <w:rsid w:val="002261EB"/>
    <w:rsid w:val="00226335"/>
    <w:rsid w:val="00230FDD"/>
    <w:rsid w:val="00231B21"/>
    <w:rsid w:val="002323CF"/>
    <w:rsid w:val="00233348"/>
    <w:rsid w:val="002334EF"/>
    <w:rsid w:val="002355CD"/>
    <w:rsid w:val="00237EA5"/>
    <w:rsid w:val="00240282"/>
    <w:rsid w:val="00240EC4"/>
    <w:rsid w:val="00242E85"/>
    <w:rsid w:val="002455BE"/>
    <w:rsid w:val="002456C8"/>
    <w:rsid w:val="00246015"/>
    <w:rsid w:val="00246AEA"/>
    <w:rsid w:val="00247E6F"/>
    <w:rsid w:val="00250A2D"/>
    <w:rsid w:val="00250C55"/>
    <w:rsid w:val="00250D06"/>
    <w:rsid w:val="00250F89"/>
    <w:rsid w:val="002511B0"/>
    <w:rsid w:val="00252050"/>
    <w:rsid w:val="0025277B"/>
    <w:rsid w:val="00253E41"/>
    <w:rsid w:val="002554BC"/>
    <w:rsid w:val="00255B28"/>
    <w:rsid w:val="00257460"/>
    <w:rsid w:val="00257B29"/>
    <w:rsid w:val="00257D52"/>
    <w:rsid w:val="00262740"/>
    <w:rsid w:val="0026435D"/>
    <w:rsid w:val="00265F19"/>
    <w:rsid w:val="002665AB"/>
    <w:rsid w:val="002672E9"/>
    <w:rsid w:val="00267420"/>
    <w:rsid w:val="002674E4"/>
    <w:rsid w:val="00267EFF"/>
    <w:rsid w:val="002726FF"/>
    <w:rsid w:val="002727E4"/>
    <w:rsid w:val="00273741"/>
    <w:rsid w:val="00273EDF"/>
    <w:rsid w:val="002745E6"/>
    <w:rsid w:val="00275118"/>
    <w:rsid w:val="00275C70"/>
    <w:rsid w:val="0027769B"/>
    <w:rsid w:val="00277B13"/>
    <w:rsid w:val="00280BC9"/>
    <w:rsid w:val="00281529"/>
    <w:rsid w:val="00281CF8"/>
    <w:rsid w:val="00282A43"/>
    <w:rsid w:val="00282C4C"/>
    <w:rsid w:val="002834BD"/>
    <w:rsid w:val="0028461F"/>
    <w:rsid w:val="002903AA"/>
    <w:rsid w:val="00291208"/>
    <w:rsid w:val="00292A6E"/>
    <w:rsid w:val="00293728"/>
    <w:rsid w:val="00293B7D"/>
    <w:rsid w:val="00296924"/>
    <w:rsid w:val="00296FC4"/>
    <w:rsid w:val="002974CA"/>
    <w:rsid w:val="0029795F"/>
    <w:rsid w:val="00297CE4"/>
    <w:rsid w:val="002A021D"/>
    <w:rsid w:val="002A09E4"/>
    <w:rsid w:val="002A3A86"/>
    <w:rsid w:val="002A4136"/>
    <w:rsid w:val="002A4F84"/>
    <w:rsid w:val="002A5502"/>
    <w:rsid w:val="002A56AA"/>
    <w:rsid w:val="002A620D"/>
    <w:rsid w:val="002A6B41"/>
    <w:rsid w:val="002B0947"/>
    <w:rsid w:val="002B10DA"/>
    <w:rsid w:val="002B14DA"/>
    <w:rsid w:val="002B3AC7"/>
    <w:rsid w:val="002B5905"/>
    <w:rsid w:val="002B5D26"/>
    <w:rsid w:val="002B5D4D"/>
    <w:rsid w:val="002B7DBE"/>
    <w:rsid w:val="002C09D4"/>
    <w:rsid w:val="002C167B"/>
    <w:rsid w:val="002C1A7B"/>
    <w:rsid w:val="002C1EDB"/>
    <w:rsid w:val="002C1F8C"/>
    <w:rsid w:val="002C2B69"/>
    <w:rsid w:val="002C4111"/>
    <w:rsid w:val="002C463A"/>
    <w:rsid w:val="002C4C97"/>
    <w:rsid w:val="002C5019"/>
    <w:rsid w:val="002C5301"/>
    <w:rsid w:val="002C68DC"/>
    <w:rsid w:val="002C6D8C"/>
    <w:rsid w:val="002C7B3E"/>
    <w:rsid w:val="002C7D10"/>
    <w:rsid w:val="002D14EA"/>
    <w:rsid w:val="002D27A2"/>
    <w:rsid w:val="002D2826"/>
    <w:rsid w:val="002D2C53"/>
    <w:rsid w:val="002D3316"/>
    <w:rsid w:val="002D479B"/>
    <w:rsid w:val="002D5A08"/>
    <w:rsid w:val="002D5DC8"/>
    <w:rsid w:val="002D5F8A"/>
    <w:rsid w:val="002D6A30"/>
    <w:rsid w:val="002D6A31"/>
    <w:rsid w:val="002D6B4D"/>
    <w:rsid w:val="002E01AD"/>
    <w:rsid w:val="002E0C7E"/>
    <w:rsid w:val="002E187C"/>
    <w:rsid w:val="002E1C0E"/>
    <w:rsid w:val="002E2287"/>
    <w:rsid w:val="002E272C"/>
    <w:rsid w:val="002E3437"/>
    <w:rsid w:val="002E37A9"/>
    <w:rsid w:val="002E454C"/>
    <w:rsid w:val="002E4827"/>
    <w:rsid w:val="002E4A0F"/>
    <w:rsid w:val="002E4EE3"/>
    <w:rsid w:val="002E546D"/>
    <w:rsid w:val="002E6466"/>
    <w:rsid w:val="002F0E31"/>
    <w:rsid w:val="002F2858"/>
    <w:rsid w:val="002F4DDB"/>
    <w:rsid w:val="002F56D0"/>
    <w:rsid w:val="002F5AAC"/>
    <w:rsid w:val="002F6EAB"/>
    <w:rsid w:val="002F7271"/>
    <w:rsid w:val="002F7895"/>
    <w:rsid w:val="003001BA"/>
    <w:rsid w:val="00300436"/>
    <w:rsid w:val="00303F36"/>
    <w:rsid w:val="0030537D"/>
    <w:rsid w:val="00307B12"/>
    <w:rsid w:val="003127BD"/>
    <w:rsid w:val="00312B84"/>
    <w:rsid w:val="0031429D"/>
    <w:rsid w:val="003143A4"/>
    <w:rsid w:val="0031549D"/>
    <w:rsid w:val="00316843"/>
    <w:rsid w:val="003170B7"/>
    <w:rsid w:val="00317520"/>
    <w:rsid w:val="00317805"/>
    <w:rsid w:val="00317A68"/>
    <w:rsid w:val="00317D5C"/>
    <w:rsid w:val="00322C9C"/>
    <w:rsid w:val="00325494"/>
    <w:rsid w:val="00326DCC"/>
    <w:rsid w:val="00327A77"/>
    <w:rsid w:val="00331507"/>
    <w:rsid w:val="00332134"/>
    <w:rsid w:val="00332F33"/>
    <w:rsid w:val="00332F91"/>
    <w:rsid w:val="0033581D"/>
    <w:rsid w:val="00335D37"/>
    <w:rsid w:val="0033747D"/>
    <w:rsid w:val="00337E3E"/>
    <w:rsid w:val="00341884"/>
    <w:rsid w:val="00341CD3"/>
    <w:rsid w:val="00341CFB"/>
    <w:rsid w:val="00341D99"/>
    <w:rsid w:val="00341DEE"/>
    <w:rsid w:val="00343FBF"/>
    <w:rsid w:val="00344E2A"/>
    <w:rsid w:val="00346D75"/>
    <w:rsid w:val="00352BE9"/>
    <w:rsid w:val="0035449C"/>
    <w:rsid w:val="00355E9D"/>
    <w:rsid w:val="0035603B"/>
    <w:rsid w:val="003562C5"/>
    <w:rsid w:val="003576E2"/>
    <w:rsid w:val="0036033B"/>
    <w:rsid w:val="00361D21"/>
    <w:rsid w:val="00362FAD"/>
    <w:rsid w:val="00367112"/>
    <w:rsid w:val="00370CE7"/>
    <w:rsid w:val="003711A7"/>
    <w:rsid w:val="00371B62"/>
    <w:rsid w:val="003722A4"/>
    <w:rsid w:val="003737DC"/>
    <w:rsid w:val="003766CB"/>
    <w:rsid w:val="00376D29"/>
    <w:rsid w:val="003773CD"/>
    <w:rsid w:val="0037778A"/>
    <w:rsid w:val="00380601"/>
    <w:rsid w:val="00381E54"/>
    <w:rsid w:val="00382AA4"/>
    <w:rsid w:val="00383EF5"/>
    <w:rsid w:val="00385ACA"/>
    <w:rsid w:val="0038676C"/>
    <w:rsid w:val="00387A97"/>
    <w:rsid w:val="00387E94"/>
    <w:rsid w:val="00391008"/>
    <w:rsid w:val="00391AEE"/>
    <w:rsid w:val="00391EF9"/>
    <w:rsid w:val="003920C3"/>
    <w:rsid w:val="003925DF"/>
    <w:rsid w:val="00392CC3"/>
    <w:rsid w:val="00393940"/>
    <w:rsid w:val="0039457A"/>
    <w:rsid w:val="00394981"/>
    <w:rsid w:val="00397F6F"/>
    <w:rsid w:val="003A03B4"/>
    <w:rsid w:val="003A0631"/>
    <w:rsid w:val="003A0A40"/>
    <w:rsid w:val="003A0C00"/>
    <w:rsid w:val="003A0DC7"/>
    <w:rsid w:val="003A19A9"/>
    <w:rsid w:val="003A36CA"/>
    <w:rsid w:val="003A37A8"/>
    <w:rsid w:val="003A634C"/>
    <w:rsid w:val="003A6409"/>
    <w:rsid w:val="003B053B"/>
    <w:rsid w:val="003B058F"/>
    <w:rsid w:val="003B1116"/>
    <w:rsid w:val="003B152F"/>
    <w:rsid w:val="003B18BF"/>
    <w:rsid w:val="003B212E"/>
    <w:rsid w:val="003B3537"/>
    <w:rsid w:val="003B36E5"/>
    <w:rsid w:val="003B6C66"/>
    <w:rsid w:val="003B72F5"/>
    <w:rsid w:val="003B76FB"/>
    <w:rsid w:val="003C03C2"/>
    <w:rsid w:val="003C1429"/>
    <w:rsid w:val="003C19E0"/>
    <w:rsid w:val="003C1B06"/>
    <w:rsid w:val="003C2528"/>
    <w:rsid w:val="003C2C3C"/>
    <w:rsid w:val="003C3FAD"/>
    <w:rsid w:val="003C5C50"/>
    <w:rsid w:val="003D027B"/>
    <w:rsid w:val="003D1294"/>
    <w:rsid w:val="003D1403"/>
    <w:rsid w:val="003D276F"/>
    <w:rsid w:val="003D29AE"/>
    <w:rsid w:val="003D2B70"/>
    <w:rsid w:val="003D3407"/>
    <w:rsid w:val="003D3FC4"/>
    <w:rsid w:val="003D5380"/>
    <w:rsid w:val="003D6017"/>
    <w:rsid w:val="003D705D"/>
    <w:rsid w:val="003D797D"/>
    <w:rsid w:val="003D7E27"/>
    <w:rsid w:val="003E0590"/>
    <w:rsid w:val="003E0D80"/>
    <w:rsid w:val="003E1903"/>
    <w:rsid w:val="003E2640"/>
    <w:rsid w:val="003E3975"/>
    <w:rsid w:val="003E4EBF"/>
    <w:rsid w:val="003E5E03"/>
    <w:rsid w:val="003E6CBF"/>
    <w:rsid w:val="003E713B"/>
    <w:rsid w:val="003F0064"/>
    <w:rsid w:val="003F0936"/>
    <w:rsid w:val="003F1C71"/>
    <w:rsid w:val="003F2C42"/>
    <w:rsid w:val="003F2D8D"/>
    <w:rsid w:val="003F3BEB"/>
    <w:rsid w:val="003F3F01"/>
    <w:rsid w:val="003F41D9"/>
    <w:rsid w:val="003F5476"/>
    <w:rsid w:val="003F62D5"/>
    <w:rsid w:val="004014B4"/>
    <w:rsid w:val="0040226C"/>
    <w:rsid w:val="004035DA"/>
    <w:rsid w:val="00403F04"/>
    <w:rsid w:val="00404D1E"/>
    <w:rsid w:val="00405507"/>
    <w:rsid w:val="0040778B"/>
    <w:rsid w:val="0041356D"/>
    <w:rsid w:val="0041571C"/>
    <w:rsid w:val="00415E3F"/>
    <w:rsid w:val="00416305"/>
    <w:rsid w:val="0041689C"/>
    <w:rsid w:val="0041711C"/>
    <w:rsid w:val="00417FCB"/>
    <w:rsid w:val="0042231E"/>
    <w:rsid w:val="004233FB"/>
    <w:rsid w:val="0042437F"/>
    <w:rsid w:val="0042449D"/>
    <w:rsid w:val="00425556"/>
    <w:rsid w:val="004256C9"/>
    <w:rsid w:val="004261B2"/>
    <w:rsid w:val="004268C6"/>
    <w:rsid w:val="00432AA6"/>
    <w:rsid w:val="0043343C"/>
    <w:rsid w:val="00435B87"/>
    <w:rsid w:val="00436A47"/>
    <w:rsid w:val="00440427"/>
    <w:rsid w:val="0044159B"/>
    <w:rsid w:val="0044331C"/>
    <w:rsid w:val="004437EC"/>
    <w:rsid w:val="00443A42"/>
    <w:rsid w:val="00446E45"/>
    <w:rsid w:val="004508B1"/>
    <w:rsid w:val="00452ACD"/>
    <w:rsid w:val="004549FF"/>
    <w:rsid w:val="00454B5B"/>
    <w:rsid w:val="0045669C"/>
    <w:rsid w:val="00456B1B"/>
    <w:rsid w:val="00457642"/>
    <w:rsid w:val="00463DF6"/>
    <w:rsid w:val="004647FD"/>
    <w:rsid w:val="0046745C"/>
    <w:rsid w:val="00467DA1"/>
    <w:rsid w:val="00470DDE"/>
    <w:rsid w:val="00471438"/>
    <w:rsid w:val="004726B5"/>
    <w:rsid w:val="00473E43"/>
    <w:rsid w:val="00473E6E"/>
    <w:rsid w:val="004740D5"/>
    <w:rsid w:val="00477D04"/>
    <w:rsid w:val="004806D2"/>
    <w:rsid w:val="00481DF8"/>
    <w:rsid w:val="00482743"/>
    <w:rsid w:val="00482929"/>
    <w:rsid w:val="004838A7"/>
    <w:rsid w:val="00483BDA"/>
    <w:rsid w:val="0048511E"/>
    <w:rsid w:val="004871DD"/>
    <w:rsid w:val="004875B1"/>
    <w:rsid w:val="004906A8"/>
    <w:rsid w:val="00490852"/>
    <w:rsid w:val="00491EA5"/>
    <w:rsid w:val="00492FD3"/>
    <w:rsid w:val="004932D9"/>
    <w:rsid w:val="00493744"/>
    <w:rsid w:val="00495FA6"/>
    <w:rsid w:val="0049662C"/>
    <w:rsid w:val="00496891"/>
    <w:rsid w:val="004A2196"/>
    <w:rsid w:val="004A2778"/>
    <w:rsid w:val="004A371D"/>
    <w:rsid w:val="004A478E"/>
    <w:rsid w:val="004A7196"/>
    <w:rsid w:val="004A7B94"/>
    <w:rsid w:val="004B1128"/>
    <w:rsid w:val="004B1EB1"/>
    <w:rsid w:val="004B2FDE"/>
    <w:rsid w:val="004B30D6"/>
    <w:rsid w:val="004B359F"/>
    <w:rsid w:val="004B388B"/>
    <w:rsid w:val="004B5395"/>
    <w:rsid w:val="004B5871"/>
    <w:rsid w:val="004B5FCD"/>
    <w:rsid w:val="004B7F76"/>
    <w:rsid w:val="004C14CF"/>
    <w:rsid w:val="004C1535"/>
    <w:rsid w:val="004C1549"/>
    <w:rsid w:val="004C2397"/>
    <w:rsid w:val="004C2893"/>
    <w:rsid w:val="004C35A9"/>
    <w:rsid w:val="004C3843"/>
    <w:rsid w:val="004C395F"/>
    <w:rsid w:val="004C53EF"/>
    <w:rsid w:val="004C681D"/>
    <w:rsid w:val="004C7D17"/>
    <w:rsid w:val="004D1140"/>
    <w:rsid w:val="004D11E8"/>
    <w:rsid w:val="004D1569"/>
    <w:rsid w:val="004D2893"/>
    <w:rsid w:val="004D4F70"/>
    <w:rsid w:val="004D7C1A"/>
    <w:rsid w:val="004D7CD4"/>
    <w:rsid w:val="004E0801"/>
    <w:rsid w:val="004E20C3"/>
    <w:rsid w:val="004E2DAB"/>
    <w:rsid w:val="004E44FD"/>
    <w:rsid w:val="004E5270"/>
    <w:rsid w:val="004E5320"/>
    <w:rsid w:val="004E6770"/>
    <w:rsid w:val="004E7901"/>
    <w:rsid w:val="004F033E"/>
    <w:rsid w:val="004F2665"/>
    <w:rsid w:val="004F3EA7"/>
    <w:rsid w:val="004F4930"/>
    <w:rsid w:val="004F4A2C"/>
    <w:rsid w:val="004F4C51"/>
    <w:rsid w:val="004F6B87"/>
    <w:rsid w:val="004F7442"/>
    <w:rsid w:val="00501E0B"/>
    <w:rsid w:val="00510004"/>
    <w:rsid w:val="00510D42"/>
    <w:rsid w:val="00511368"/>
    <w:rsid w:val="005143F9"/>
    <w:rsid w:val="0051555F"/>
    <w:rsid w:val="00516378"/>
    <w:rsid w:val="00516A0E"/>
    <w:rsid w:val="00516E41"/>
    <w:rsid w:val="00516E51"/>
    <w:rsid w:val="00516F87"/>
    <w:rsid w:val="00517B2B"/>
    <w:rsid w:val="005219C2"/>
    <w:rsid w:val="00521E45"/>
    <w:rsid w:val="00521FA6"/>
    <w:rsid w:val="0052266F"/>
    <w:rsid w:val="0052529F"/>
    <w:rsid w:val="0052583B"/>
    <w:rsid w:val="00526A94"/>
    <w:rsid w:val="00526C83"/>
    <w:rsid w:val="00527A64"/>
    <w:rsid w:val="005302B7"/>
    <w:rsid w:val="00531133"/>
    <w:rsid w:val="00532108"/>
    <w:rsid w:val="005325BA"/>
    <w:rsid w:val="00532600"/>
    <w:rsid w:val="00532FFC"/>
    <w:rsid w:val="00533895"/>
    <w:rsid w:val="005366B3"/>
    <w:rsid w:val="00536BD2"/>
    <w:rsid w:val="005400D3"/>
    <w:rsid w:val="00542394"/>
    <w:rsid w:val="00544C20"/>
    <w:rsid w:val="00547CC6"/>
    <w:rsid w:val="00551DA1"/>
    <w:rsid w:val="00552B21"/>
    <w:rsid w:val="00552F5A"/>
    <w:rsid w:val="00552F9F"/>
    <w:rsid w:val="00554838"/>
    <w:rsid w:val="00555734"/>
    <w:rsid w:val="00557DC2"/>
    <w:rsid w:val="00561559"/>
    <w:rsid w:val="00561D77"/>
    <w:rsid w:val="00562371"/>
    <w:rsid w:val="00562A8D"/>
    <w:rsid w:val="005649B0"/>
    <w:rsid w:val="00565088"/>
    <w:rsid w:val="0056515D"/>
    <w:rsid w:val="00570E54"/>
    <w:rsid w:val="00570EE1"/>
    <w:rsid w:val="00571030"/>
    <w:rsid w:val="00571322"/>
    <w:rsid w:val="00571D69"/>
    <w:rsid w:val="00572E4A"/>
    <w:rsid w:val="005740FF"/>
    <w:rsid w:val="00574525"/>
    <w:rsid w:val="00574D70"/>
    <w:rsid w:val="0057762D"/>
    <w:rsid w:val="0058038D"/>
    <w:rsid w:val="00580ABA"/>
    <w:rsid w:val="005815D2"/>
    <w:rsid w:val="0058357B"/>
    <w:rsid w:val="0058411D"/>
    <w:rsid w:val="00584321"/>
    <w:rsid w:val="00585748"/>
    <w:rsid w:val="005862BF"/>
    <w:rsid w:val="0058640B"/>
    <w:rsid w:val="00587C66"/>
    <w:rsid w:val="0059150B"/>
    <w:rsid w:val="0059198C"/>
    <w:rsid w:val="0059351A"/>
    <w:rsid w:val="005935CF"/>
    <w:rsid w:val="00593B47"/>
    <w:rsid w:val="00593F30"/>
    <w:rsid w:val="00594E58"/>
    <w:rsid w:val="00596080"/>
    <w:rsid w:val="00597AB4"/>
    <w:rsid w:val="00597BA6"/>
    <w:rsid w:val="005A0030"/>
    <w:rsid w:val="005A125D"/>
    <w:rsid w:val="005A356C"/>
    <w:rsid w:val="005A3C75"/>
    <w:rsid w:val="005A4812"/>
    <w:rsid w:val="005A56ED"/>
    <w:rsid w:val="005A7D6D"/>
    <w:rsid w:val="005A7DD8"/>
    <w:rsid w:val="005B0D1F"/>
    <w:rsid w:val="005B0EBF"/>
    <w:rsid w:val="005B1100"/>
    <w:rsid w:val="005B1ED3"/>
    <w:rsid w:val="005B2AD8"/>
    <w:rsid w:val="005B3368"/>
    <w:rsid w:val="005B77B1"/>
    <w:rsid w:val="005B7C4B"/>
    <w:rsid w:val="005C1292"/>
    <w:rsid w:val="005C1799"/>
    <w:rsid w:val="005C321F"/>
    <w:rsid w:val="005C3260"/>
    <w:rsid w:val="005C44D3"/>
    <w:rsid w:val="005C5E1E"/>
    <w:rsid w:val="005C5FD6"/>
    <w:rsid w:val="005C6BF7"/>
    <w:rsid w:val="005C767E"/>
    <w:rsid w:val="005C76D0"/>
    <w:rsid w:val="005C785C"/>
    <w:rsid w:val="005C791C"/>
    <w:rsid w:val="005D053B"/>
    <w:rsid w:val="005D0C81"/>
    <w:rsid w:val="005D346A"/>
    <w:rsid w:val="005D45F7"/>
    <w:rsid w:val="005D5137"/>
    <w:rsid w:val="005D61A6"/>
    <w:rsid w:val="005D6C1B"/>
    <w:rsid w:val="005E1845"/>
    <w:rsid w:val="005E2B6F"/>
    <w:rsid w:val="005E2C81"/>
    <w:rsid w:val="005E2E90"/>
    <w:rsid w:val="005E2FF0"/>
    <w:rsid w:val="005E47AA"/>
    <w:rsid w:val="005E48D3"/>
    <w:rsid w:val="005E5B01"/>
    <w:rsid w:val="005E6770"/>
    <w:rsid w:val="005E703C"/>
    <w:rsid w:val="005F028E"/>
    <w:rsid w:val="005F1887"/>
    <w:rsid w:val="005F1E9E"/>
    <w:rsid w:val="005F38A9"/>
    <w:rsid w:val="005F40E0"/>
    <w:rsid w:val="005F4168"/>
    <w:rsid w:val="005F541D"/>
    <w:rsid w:val="005F5948"/>
    <w:rsid w:val="005F59F4"/>
    <w:rsid w:val="005F5A8A"/>
    <w:rsid w:val="005F7910"/>
    <w:rsid w:val="00600A2B"/>
    <w:rsid w:val="00600E47"/>
    <w:rsid w:val="00601620"/>
    <w:rsid w:val="006026A6"/>
    <w:rsid w:val="00605396"/>
    <w:rsid w:val="00605A61"/>
    <w:rsid w:val="00606805"/>
    <w:rsid w:val="00606822"/>
    <w:rsid w:val="0060760E"/>
    <w:rsid w:val="00607C9C"/>
    <w:rsid w:val="00611F67"/>
    <w:rsid w:val="006123D2"/>
    <w:rsid w:val="00612B8B"/>
    <w:rsid w:val="0061469D"/>
    <w:rsid w:val="00617669"/>
    <w:rsid w:val="00617886"/>
    <w:rsid w:val="00620004"/>
    <w:rsid w:val="006221B7"/>
    <w:rsid w:val="00622E69"/>
    <w:rsid w:val="006259F7"/>
    <w:rsid w:val="00627A09"/>
    <w:rsid w:val="00631CC8"/>
    <w:rsid w:val="0063297B"/>
    <w:rsid w:val="0063311C"/>
    <w:rsid w:val="006335C1"/>
    <w:rsid w:val="00635339"/>
    <w:rsid w:val="00635B3E"/>
    <w:rsid w:val="00636A8D"/>
    <w:rsid w:val="00637DFA"/>
    <w:rsid w:val="00640B61"/>
    <w:rsid w:val="006413E0"/>
    <w:rsid w:val="00641B83"/>
    <w:rsid w:val="00642251"/>
    <w:rsid w:val="006435E0"/>
    <w:rsid w:val="0064365E"/>
    <w:rsid w:val="00644535"/>
    <w:rsid w:val="00644754"/>
    <w:rsid w:val="0064743C"/>
    <w:rsid w:val="00647F7A"/>
    <w:rsid w:val="00651C3B"/>
    <w:rsid w:val="0065244F"/>
    <w:rsid w:val="00652F1D"/>
    <w:rsid w:val="006541EB"/>
    <w:rsid w:val="00654456"/>
    <w:rsid w:val="0065791E"/>
    <w:rsid w:val="006606B2"/>
    <w:rsid w:val="006612B6"/>
    <w:rsid w:val="00661564"/>
    <w:rsid w:val="00661AA3"/>
    <w:rsid w:val="00661DD7"/>
    <w:rsid w:val="00662620"/>
    <w:rsid w:val="006637D4"/>
    <w:rsid w:val="00663AD3"/>
    <w:rsid w:val="006660CF"/>
    <w:rsid w:val="00667643"/>
    <w:rsid w:val="00667BD5"/>
    <w:rsid w:val="00671137"/>
    <w:rsid w:val="0067254D"/>
    <w:rsid w:val="00672E14"/>
    <w:rsid w:val="0067562E"/>
    <w:rsid w:val="006767DD"/>
    <w:rsid w:val="006800CF"/>
    <w:rsid w:val="006814DC"/>
    <w:rsid w:val="00682844"/>
    <w:rsid w:val="00683D6A"/>
    <w:rsid w:val="006866A5"/>
    <w:rsid w:val="00687BFA"/>
    <w:rsid w:val="00687D34"/>
    <w:rsid w:val="006903DB"/>
    <w:rsid w:val="00690720"/>
    <w:rsid w:val="00691BDB"/>
    <w:rsid w:val="006928ED"/>
    <w:rsid w:val="006928F9"/>
    <w:rsid w:val="006935ED"/>
    <w:rsid w:val="00693FC0"/>
    <w:rsid w:val="006954D8"/>
    <w:rsid w:val="006954FA"/>
    <w:rsid w:val="00695AE5"/>
    <w:rsid w:val="00695BF2"/>
    <w:rsid w:val="00696898"/>
    <w:rsid w:val="006A0BA9"/>
    <w:rsid w:val="006A0D0E"/>
    <w:rsid w:val="006A0E4B"/>
    <w:rsid w:val="006A1112"/>
    <w:rsid w:val="006A12E1"/>
    <w:rsid w:val="006A1FD7"/>
    <w:rsid w:val="006A3DAD"/>
    <w:rsid w:val="006A4F6D"/>
    <w:rsid w:val="006A5228"/>
    <w:rsid w:val="006A5E01"/>
    <w:rsid w:val="006A6961"/>
    <w:rsid w:val="006B03B2"/>
    <w:rsid w:val="006B0494"/>
    <w:rsid w:val="006B0607"/>
    <w:rsid w:val="006B0D99"/>
    <w:rsid w:val="006B16CD"/>
    <w:rsid w:val="006B464B"/>
    <w:rsid w:val="006B600E"/>
    <w:rsid w:val="006B6109"/>
    <w:rsid w:val="006B61C2"/>
    <w:rsid w:val="006B6565"/>
    <w:rsid w:val="006B6690"/>
    <w:rsid w:val="006B6EC3"/>
    <w:rsid w:val="006C37FF"/>
    <w:rsid w:val="006D03DA"/>
    <w:rsid w:val="006D18D5"/>
    <w:rsid w:val="006D3CA0"/>
    <w:rsid w:val="006D4991"/>
    <w:rsid w:val="006D6A6B"/>
    <w:rsid w:val="006D7B8B"/>
    <w:rsid w:val="006E1DFF"/>
    <w:rsid w:val="006E2665"/>
    <w:rsid w:val="006E656F"/>
    <w:rsid w:val="006E7618"/>
    <w:rsid w:val="006F0B97"/>
    <w:rsid w:val="006F0F97"/>
    <w:rsid w:val="006F1412"/>
    <w:rsid w:val="006F15BA"/>
    <w:rsid w:val="006F16D1"/>
    <w:rsid w:val="006F3526"/>
    <w:rsid w:val="006F3BA9"/>
    <w:rsid w:val="006F4917"/>
    <w:rsid w:val="006F4A0F"/>
    <w:rsid w:val="006F586C"/>
    <w:rsid w:val="006F5CB6"/>
    <w:rsid w:val="00700E42"/>
    <w:rsid w:val="00701606"/>
    <w:rsid w:val="00701CAF"/>
    <w:rsid w:val="007025AC"/>
    <w:rsid w:val="00702731"/>
    <w:rsid w:val="00704977"/>
    <w:rsid w:val="00704C56"/>
    <w:rsid w:val="007053F8"/>
    <w:rsid w:val="00705D17"/>
    <w:rsid w:val="00705DB1"/>
    <w:rsid w:val="0070710A"/>
    <w:rsid w:val="007109C2"/>
    <w:rsid w:val="0071367B"/>
    <w:rsid w:val="007139CC"/>
    <w:rsid w:val="00713DF3"/>
    <w:rsid w:val="007144E7"/>
    <w:rsid w:val="00714FF2"/>
    <w:rsid w:val="007170D3"/>
    <w:rsid w:val="00717AFE"/>
    <w:rsid w:val="007217DD"/>
    <w:rsid w:val="00721D7C"/>
    <w:rsid w:val="007226AA"/>
    <w:rsid w:val="00722961"/>
    <w:rsid w:val="00722E7F"/>
    <w:rsid w:val="00722F41"/>
    <w:rsid w:val="0072304F"/>
    <w:rsid w:val="00727A58"/>
    <w:rsid w:val="00731798"/>
    <w:rsid w:val="00731DE2"/>
    <w:rsid w:val="007321FD"/>
    <w:rsid w:val="0073297C"/>
    <w:rsid w:val="0073408A"/>
    <w:rsid w:val="007372D1"/>
    <w:rsid w:val="00737C46"/>
    <w:rsid w:val="00737DAA"/>
    <w:rsid w:val="00744124"/>
    <w:rsid w:val="00744518"/>
    <w:rsid w:val="00744DA6"/>
    <w:rsid w:val="00744E85"/>
    <w:rsid w:val="00744F00"/>
    <w:rsid w:val="00746CAF"/>
    <w:rsid w:val="0074746E"/>
    <w:rsid w:val="00747F32"/>
    <w:rsid w:val="007500F7"/>
    <w:rsid w:val="007509F0"/>
    <w:rsid w:val="00750A16"/>
    <w:rsid w:val="00750A25"/>
    <w:rsid w:val="00751AA2"/>
    <w:rsid w:val="00751EB8"/>
    <w:rsid w:val="007542A7"/>
    <w:rsid w:val="00754F34"/>
    <w:rsid w:val="00757093"/>
    <w:rsid w:val="0076068B"/>
    <w:rsid w:val="007614AF"/>
    <w:rsid w:val="00762155"/>
    <w:rsid w:val="00763D50"/>
    <w:rsid w:val="00764AE3"/>
    <w:rsid w:val="00764B49"/>
    <w:rsid w:val="00765C50"/>
    <w:rsid w:val="007665D5"/>
    <w:rsid w:val="007679FC"/>
    <w:rsid w:val="007708BA"/>
    <w:rsid w:val="007709BE"/>
    <w:rsid w:val="007726D7"/>
    <w:rsid w:val="007759C0"/>
    <w:rsid w:val="00775DA7"/>
    <w:rsid w:val="00780F51"/>
    <w:rsid w:val="00781BC9"/>
    <w:rsid w:val="00782A14"/>
    <w:rsid w:val="00783BD3"/>
    <w:rsid w:val="00785E63"/>
    <w:rsid w:val="00786A02"/>
    <w:rsid w:val="00787F76"/>
    <w:rsid w:val="00792BB8"/>
    <w:rsid w:val="00793924"/>
    <w:rsid w:val="00794759"/>
    <w:rsid w:val="00795E82"/>
    <w:rsid w:val="00796EA5"/>
    <w:rsid w:val="00797244"/>
    <w:rsid w:val="007A0533"/>
    <w:rsid w:val="007A13EE"/>
    <w:rsid w:val="007A1579"/>
    <w:rsid w:val="007A3051"/>
    <w:rsid w:val="007A3995"/>
    <w:rsid w:val="007A3CA9"/>
    <w:rsid w:val="007A6201"/>
    <w:rsid w:val="007B1521"/>
    <w:rsid w:val="007B164B"/>
    <w:rsid w:val="007B52F2"/>
    <w:rsid w:val="007B5ED0"/>
    <w:rsid w:val="007B68C6"/>
    <w:rsid w:val="007B6B8E"/>
    <w:rsid w:val="007B6E57"/>
    <w:rsid w:val="007B7224"/>
    <w:rsid w:val="007C1704"/>
    <w:rsid w:val="007C2072"/>
    <w:rsid w:val="007C3046"/>
    <w:rsid w:val="007C351C"/>
    <w:rsid w:val="007C4C6C"/>
    <w:rsid w:val="007C5B24"/>
    <w:rsid w:val="007C69ED"/>
    <w:rsid w:val="007C7E62"/>
    <w:rsid w:val="007D0C94"/>
    <w:rsid w:val="007D0FB6"/>
    <w:rsid w:val="007D16EC"/>
    <w:rsid w:val="007D26DC"/>
    <w:rsid w:val="007D4F69"/>
    <w:rsid w:val="007E30D3"/>
    <w:rsid w:val="007E3A16"/>
    <w:rsid w:val="007E4F46"/>
    <w:rsid w:val="007E50D6"/>
    <w:rsid w:val="007E5255"/>
    <w:rsid w:val="007E527A"/>
    <w:rsid w:val="007E564D"/>
    <w:rsid w:val="007E61F8"/>
    <w:rsid w:val="007E66CB"/>
    <w:rsid w:val="007E6BFF"/>
    <w:rsid w:val="007E761D"/>
    <w:rsid w:val="007F0688"/>
    <w:rsid w:val="007F2628"/>
    <w:rsid w:val="007F2805"/>
    <w:rsid w:val="007F2817"/>
    <w:rsid w:val="007F3BA3"/>
    <w:rsid w:val="007F40C3"/>
    <w:rsid w:val="007F50B2"/>
    <w:rsid w:val="007F5BEC"/>
    <w:rsid w:val="007F6253"/>
    <w:rsid w:val="007F704D"/>
    <w:rsid w:val="007F7808"/>
    <w:rsid w:val="00800AB5"/>
    <w:rsid w:val="00800F6C"/>
    <w:rsid w:val="00801542"/>
    <w:rsid w:val="00802157"/>
    <w:rsid w:val="00802582"/>
    <w:rsid w:val="00803219"/>
    <w:rsid w:val="00803CAA"/>
    <w:rsid w:val="0080427D"/>
    <w:rsid w:val="008045F1"/>
    <w:rsid w:val="008052E8"/>
    <w:rsid w:val="00805374"/>
    <w:rsid w:val="008053B0"/>
    <w:rsid w:val="00806A47"/>
    <w:rsid w:val="00807E0D"/>
    <w:rsid w:val="00810226"/>
    <w:rsid w:val="008103F2"/>
    <w:rsid w:val="00810CD2"/>
    <w:rsid w:val="008113F7"/>
    <w:rsid w:val="00812671"/>
    <w:rsid w:val="00815B4B"/>
    <w:rsid w:val="0082084F"/>
    <w:rsid w:val="00821238"/>
    <w:rsid w:val="008214CD"/>
    <w:rsid w:val="00821A0E"/>
    <w:rsid w:val="0082282A"/>
    <w:rsid w:val="00826239"/>
    <w:rsid w:val="00826EAD"/>
    <w:rsid w:val="008279EB"/>
    <w:rsid w:val="00830555"/>
    <w:rsid w:val="00830F97"/>
    <w:rsid w:val="00831299"/>
    <w:rsid w:val="008331D7"/>
    <w:rsid w:val="0083449A"/>
    <w:rsid w:val="008364B4"/>
    <w:rsid w:val="008367BA"/>
    <w:rsid w:val="00836AA1"/>
    <w:rsid w:val="00836FFE"/>
    <w:rsid w:val="00840E58"/>
    <w:rsid w:val="00841110"/>
    <w:rsid w:val="0084176C"/>
    <w:rsid w:val="008422BA"/>
    <w:rsid w:val="008423A4"/>
    <w:rsid w:val="00842EB9"/>
    <w:rsid w:val="008447D2"/>
    <w:rsid w:val="008469A1"/>
    <w:rsid w:val="008474AE"/>
    <w:rsid w:val="008500E7"/>
    <w:rsid w:val="00851BE9"/>
    <w:rsid w:val="00851FEC"/>
    <w:rsid w:val="008523D2"/>
    <w:rsid w:val="00852DEF"/>
    <w:rsid w:val="008541B7"/>
    <w:rsid w:val="00855E2C"/>
    <w:rsid w:val="008603AF"/>
    <w:rsid w:val="00860662"/>
    <w:rsid w:val="00860E50"/>
    <w:rsid w:val="00861F7D"/>
    <w:rsid w:val="00862788"/>
    <w:rsid w:val="00863476"/>
    <w:rsid w:val="0086451E"/>
    <w:rsid w:val="00864580"/>
    <w:rsid w:val="0086464A"/>
    <w:rsid w:val="00865CA3"/>
    <w:rsid w:val="00866CFC"/>
    <w:rsid w:val="00866EDC"/>
    <w:rsid w:val="008678E0"/>
    <w:rsid w:val="00870218"/>
    <w:rsid w:val="008740AC"/>
    <w:rsid w:val="00875BBD"/>
    <w:rsid w:val="008829E3"/>
    <w:rsid w:val="00882BE3"/>
    <w:rsid w:val="00882CEB"/>
    <w:rsid w:val="00885E3D"/>
    <w:rsid w:val="008862E4"/>
    <w:rsid w:val="00886BF8"/>
    <w:rsid w:val="00890477"/>
    <w:rsid w:val="0089065F"/>
    <w:rsid w:val="008918A3"/>
    <w:rsid w:val="00892B9E"/>
    <w:rsid w:val="008945FB"/>
    <w:rsid w:val="00894C5A"/>
    <w:rsid w:val="008964AA"/>
    <w:rsid w:val="008965D6"/>
    <w:rsid w:val="008A1258"/>
    <w:rsid w:val="008A16A3"/>
    <w:rsid w:val="008A24E3"/>
    <w:rsid w:val="008A32FD"/>
    <w:rsid w:val="008A558F"/>
    <w:rsid w:val="008A7A2B"/>
    <w:rsid w:val="008A7F5D"/>
    <w:rsid w:val="008B0064"/>
    <w:rsid w:val="008B064C"/>
    <w:rsid w:val="008B231D"/>
    <w:rsid w:val="008B2527"/>
    <w:rsid w:val="008B2C4D"/>
    <w:rsid w:val="008B55A2"/>
    <w:rsid w:val="008B6703"/>
    <w:rsid w:val="008B6E29"/>
    <w:rsid w:val="008C27BF"/>
    <w:rsid w:val="008C31D8"/>
    <w:rsid w:val="008C49B0"/>
    <w:rsid w:val="008C6334"/>
    <w:rsid w:val="008C69CE"/>
    <w:rsid w:val="008C6D3E"/>
    <w:rsid w:val="008C772C"/>
    <w:rsid w:val="008C7FB8"/>
    <w:rsid w:val="008D0EA9"/>
    <w:rsid w:val="008D0EF4"/>
    <w:rsid w:val="008D1BAC"/>
    <w:rsid w:val="008D2A8A"/>
    <w:rsid w:val="008D2ECB"/>
    <w:rsid w:val="008D424B"/>
    <w:rsid w:val="008D427E"/>
    <w:rsid w:val="008D46BE"/>
    <w:rsid w:val="008D4A60"/>
    <w:rsid w:val="008D5B93"/>
    <w:rsid w:val="008D6438"/>
    <w:rsid w:val="008D65BD"/>
    <w:rsid w:val="008D6FAD"/>
    <w:rsid w:val="008E0989"/>
    <w:rsid w:val="008E1698"/>
    <w:rsid w:val="008E1CDF"/>
    <w:rsid w:val="008E212C"/>
    <w:rsid w:val="008E2843"/>
    <w:rsid w:val="008E33BD"/>
    <w:rsid w:val="008E39EF"/>
    <w:rsid w:val="008E4507"/>
    <w:rsid w:val="008E4FF0"/>
    <w:rsid w:val="008E58B6"/>
    <w:rsid w:val="008E70E5"/>
    <w:rsid w:val="008F04B3"/>
    <w:rsid w:val="008F1464"/>
    <w:rsid w:val="008F1F72"/>
    <w:rsid w:val="008F2902"/>
    <w:rsid w:val="008F2932"/>
    <w:rsid w:val="008F2A87"/>
    <w:rsid w:val="008F3724"/>
    <w:rsid w:val="008F4DC5"/>
    <w:rsid w:val="008F5500"/>
    <w:rsid w:val="008F6D6C"/>
    <w:rsid w:val="009013B6"/>
    <w:rsid w:val="00902BD8"/>
    <w:rsid w:val="0090311E"/>
    <w:rsid w:val="00903971"/>
    <w:rsid w:val="00906943"/>
    <w:rsid w:val="0090743F"/>
    <w:rsid w:val="0091066E"/>
    <w:rsid w:val="00912C76"/>
    <w:rsid w:val="00914094"/>
    <w:rsid w:val="00917D53"/>
    <w:rsid w:val="00920E0F"/>
    <w:rsid w:val="009225BF"/>
    <w:rsid w:val="009241E6"/>
    <w:rsid w:val="009262E8"/>
    <w:rsid w:val="00927692"/>
    <w:rsid w:val="009277B4"/>
    <w:rsid w:val="00927C5B"/>
    <w:rsid w:val="00932342"/>
    <w:rsid w:val="00932471"/>
    <w:rsid w:val="00932CB6"/>
    <w:rsid w:val="009333FE"/>
    <w:rsid w:val="00934771"/>
    <w:rsid w:val="00934856"/>
    <w:rsid w:val="009376F9"/>
    <w:rsid w:val="00940705"/>
    <w:rsid w:val="00940C4B"/>
    <w:rsid w:val="0094211D"/>
    <w:rsid w:val="009441E1"/>
    <w:rsid w:val="00944F37"/>
    <w:rsid w:val="00945223"/>
    <w:rsid w:val="00945870"/>
    <w:rsid w:val="00946703"/>
    <w:rsid w:val="00946EAF"/>
    <w:rsid w:val="00947656"/>
    <w:rsid w:val="00947B9C"/>
    <w:rsid w:val="00953BE3"/>
    <w:rsid w:val="00953F25"/>
    <w:rsid w:val="009555F1"/>
    <w:rsid w:val="00955617"/>
    <w:rsid w:val="00956381"/>
    <w:rsid w:val="00960B77"/>
    <w:rsid w:val="00960D3E"/>
    <w:rsid w:val="0096128F"/>
    <w:rsid w:val="00961CA7"/>
    <w:rsid w:val="00961F98"/>
    <w:rsid w:val="00961FD0"/>
    <w:rsid w:val="00964172"/>
    <w:rsid w:val="00965465"/>
    <w:rsid w:val="00965521"/>
    <w:rsid w:val="0096700F"/>
    <w:rsid w:val="00970142"/>
    <w:rsid w:val="00970583"/>
    <w:rsid w:val="00971F27"/>
    <w:rsid w:val="00973D03"/>
    <w:rsid w:val="009744C9"/>
    <w:rsid w:val="00974ABC"/>
    <w:rsid w:val="00974E6B"/>
    <w:rsid w:val="0097506B"/>
    <w:rsid w:val="0097582C"/>
    <w:rsid w:val="00976329"/>
    <w:rsid w:val="009806D6"/>
    <w:rsid w:val="009810EA"/>
    <w:rsid w:val="00981792"/>
    <w:rsid w:val="009820F4"/>
    <w:rsid w:val="0098401F"/>
    <w:rsid w:val="009855DF"/>
    <w:rsid w:val="00985C1F"/>
    <w:rsid w:val="00985C8C"/>
    <w:rsid w:val="009873B9"/>
    <w:rsid w:val="00987585"/>
    <w:rsid w:val="00990325"/>
    <w:rsid w:val="00990B0E"/>
    <w:rsid w:val="0099198B"/>
    <w:rsid w:val="00991E8D"/>
    <w:rsid w:val="00992F66"/>
    <w:rsid w:val="00993902"/>
    <w:rsid w:val="00993FB7"/>
    <w:rsid w:val="009942BA"/>
    <w:rsid w:val="00994D84"/>
    <w:rsid w:val="00995F9B"/>
    <w:rsid w:val="00996499"/>
    <w:rsid w:val="00996771"/>
    <w:rsid w:val="00996C26"/>
    <w:rsid w:val="009A1055"/>
    <w:rsid w:val="009A17A1"/>
    <w:rsid w:val="009A2448"/>
    <w:rsid w:val="009A2EE8"/>
    <w:rsid w:val="009A44CC"/>
    <w:rsid w:val="009A4E94"/>
    <w:rsid w:val="009A6215"/>
    <w:rsid w:val="009A7238"/>
    <w:rsid w:val="009A764B"/>
    <w:rsid w:val="009B0362"/>
    <w:rsid w:val="009B0A10"/>
    <w:rsid w:val="009B3595"/>
    <w:rsid w:val="009B3C3A"/>
    <w:rsid w:val="009B64C3"/>
    <w:rsid w:val="009C189A"/>
    <w:rsid w:val="009C1CB3"/>
    <w:rsid w:val="009C245E"/>
    <w:rsid w:val="009C260F"/>
    <w:rsid w:val="009C441D"/>
    <w:rsid w:val="009C7958"/>
    <w:rsid w:val="009D01B8"/>
    <w:rsid w:val="009D154E"/>
    <w:rsid w:val="009D250E"/>
    <w:rsid w:val="009D2CF3"/>
    <w:rsid w:val="009D34CA"/>
    <w:rsid w:val="009D7D88"/>
    <w:rsid w:val="009E2033"/>
    <w:rsid w:val="009E380E"/>
    <w:rsid w:val="009E3C84"/>
    <w:rsid w:val="009E3DFE"/>
    <w:rsid w:val="009E71A5"/>
    <w:rsid w:val="009E770B"/>
    <w:rsid w:val="009F0B9A"/>
    <w:rsid w:val="009F3543"/>
    <w:rsid w:val="009F4409"/>
    <w:rsid w:val="009F48B2"/>
    <w:rsid w:val="009F5EE6"/>
    <w:rsid w:val="009F6444"/>
    <w:rsid w:val="009F6610"/>
    <w:rsid w:val="009F7777"/>
    <w:rsid w:val="00A008B6"/>
    <w:rsid w:val="00A00AAC"/>
    <w:rsid w:val="00A02DE2"/>
    <w:rsid w:val="00A03076"/>
    <w:rsid w:val="00A034F6"/>
    <w:rsid w:val="00A05653"/>
    <w:rsid w:val="00A12FE0"/>
    <w:rsid w:val="00A1329D"/>
    <w:rsid w:val="00A142AC"/>
    <w:rsid w:val="00A143AC"/>
    <w:rsid w:val="00A143CB"/>
    <w:rsid w:val="00A14F5B"/>
    <w:rsid w:val="00A1502B"/>
    <w:rsid w:val="00A1663B"/>
    <w:rsid w:val="00A170BF"/>
    <w:rsid w:val="00A2054D"/>
    <w:rsid w:val="00A212BB"/>
    <w:rsid w:val="00A222FF"/>
    <w:rsid w:val="00A22430"/>
    <w:rsid w:val="00A260AF"/>
    <w:rsid w:val="00A268A6"/>
    <w:rsid w:val="00A3051D"/>
    <w:rsid w:val="00A30FB9"/>
    <w:rsid w:val="00A32168"/>
    <w:rsid w:val="00A3225F"/>
    <w:rsid w:val="00A329F9"/>
    <w:rsid w:val="00A3336C"/>
    <w:rsid w:val="00A33DD8"/>
    <w:rsid w:val="00A3484B"/>
    <w:rsid w:val="00A35E23"/>
    <w:rsid w:val="00A37998"/>
    <w:rsid w:val="00A41565"/>
    <w:rsid w:val="00A42454"/>
    <w:rsid w:val="00A4281A"/>
    <w:rsid w:val="00A42A4E"/>
    <w:rsid w:val="00A44FB8"/>
    <w:rsid w:val="00A4509A"/>
    <w:rsid w:val="00A451D3"/>
    <w:rsid w:val="00A454D4"/>
    <w:rsid w:val="00A46C7F"/>
    <w:rsid w:val="00A46F82"/>
    <w:rsid w:val="00A47329"/>
    <w:rsid w:val="00A47727"/>
    <w:rsid w:val="00A5036C"/>
    <w:rsid w:val="00A505D3"/>
    <w:rsid w:val="00A53634"/>
    <w:rsid w:val="00A54115"/>
    <w:rsid w:val="00A54C52"/>
    <w:rsid w:val="00A61A64"/>
    <w:rsid w:val="00A62824"/>
    <w:rsid w:val="00A660EF"/>
    <w:rsid w:val="00A671F3"/>
    <w:rsid w:val="00A677C5"/>
    <w:rsid w:val="00A67A74"/>
    <w:rsid w:val="00A7184F"/>
    <w:rsid w:val="00A7232A"/>
    <w:rsid w:val="00A72627"/>
    <w:rsid w:val="00A76ADE"/>
    <w:rsid w:val="00A76E4B"/>
    <w:rsid w:val="00A771E2"/>
    <w:rsid w:val="00A774E1"/>
    <w:rsid w:val="00A808C9"/>
    <w:rsid w:val="00A848B1"/>
    <w:rsid w:val="00A86E76"/>
    <w:rsid w:val="00A87FD1"/>
    <w:rsid w:val="00A90966"/>
    <w:rsid w:val="00A90C08"/>
    <w:rsid w:val="00A933AA"/>
    <w:rsid w:val="00A93B38"/>
    <w:rsid w:val="00A94137"/>
    <w:rsid w:val="00A9419B"/>
    <w:rsid w:val="00A945B2"/>
    <w:rsid w:val="00A95BE4"/>
    <w:rsid w:val="00AA029F"/>
    <w:rsid w:val="00AA067E"/>
    <w:rsid w:val="00AA28D5"/>
    <w:rsid w:val="00AA535D"/>
    <w:rsid w:val="00AA58D1"/>
    <w:rsid w:val="00AA6068"/>
    <w:rsid w:val="00AA6CB6"/>
    <w:rsid w:val="00AA7BA8"/>
    <w:rsid w:val="00AB005E"/>
    <w:rsid w:val="00AB0061"/>
    <w:rsid w:val="00AB0914"/>
    <w:rsid w:val="00AB114E"/>
    <w:rsid w:val="00AB1906"/>
    <w:rsid w:val="00AB1E2B"/>
    <w:rsid w:val="00AB2CFA"/>
    <w:rsid w:val="00AB3FD4"/>
    <w:rsid w:val="00AB5150"/>
    <w:rsid w:val="00AB7973"/>
    <w:rsid w:val="00AC0443"/>
    <w:rsid w:val="00AC0DCE"/>
    <w:rsid w:val="00AC2452"/>
    <w:rsid w:val="00AC30C9"/>
    <w:rsid w:val="00AC4834"/>
    <w:rsid w:val="00AC4DA2"/>
    <w:rsid w:val="00AC5546"/>
    <w:rsid w:val="00AC5931"/>
    <w:rsid w:val="00AC6DE8"/>
    <w:rsid w:val="00AD2E62"/>
    <w:rsid w:val="00AD2E64"/>
    <w:rsid w:val="00AD3C89"/>
    <w:rsid w:val="00AD4111"/>
    <w:rsid w:val="00AD44F1"/>
    <w:rsid w:val="00AD5465"/>
    <w:rsid w:val="00AD5CC9"/>
    <w:rsid w:val="00AD7C63"/>
    <w:rsid w:val="00AE037D"/>
    <w:rsid w:val="00AE0F34"/>
    <w:rsid w:val="00AE11DD"/>
    <w:rsid w:val="00AE33E6"/>
    <w:rsid w:val="00AE3B70"/>
    <w:rsid w:val="00AE3C95"/>
    <w:rsid w:val="00AE4ABA"/>
    <w:rsid w:val="00AE5119"/>
    <w:rsid w:val="00AE5C29"/>
    <w:rsid w:val="00AF011F"/>
    <w:rsid w:val="00AF2475"/>
    <w:rsid w:val="00AF385E"/>
    <w:rsid w:val="00AF522D"/>
    <w:rsid w:val="00AF67B8"/>
    <w:rsid w:val="00AF6D9A"/>
    <w:rsid w:val="00AF7C64"/>
    <w:rsid w:val="00B008F7"/>
    <w:rsid w:val="00B0115A"/>
    <w:rsid w:val="00B01248"/>
    <w:rsid w:val="00B01304"/>
    <w:rsid w:val="00B01AE5"/>
    <w:rsid w:val="00B02950"/>
    <w:rsid w:val="00B0505E"/>
    <w:rsid w:val="00B05191"/>
    <w:rsid w:val="00B051D9"/>
    <w:rsid w:val="00B05593"/>
    <w:rsid w:val="00B05F8D"/>
    <w:rsid w:val="00B07A43"/>
    <w:rsid w:val="00B07B01"/>
    <w:rsid w:val="00B10779"/>
    <w:rsid w:val="00B13EC5"/>
    <w:rsid w:val="00B14052"/>
    <w:rsid w:val="00B159D5"/>
    <w:rsid w:val="00B15F44"/>
    <w:rsid w:val="00B170BC"/>
    <w:rsid w:val="00B2047B"/>
    <w:rsid w:val="00B20712"/>
    <w:rsid w:val="00B22483"/>
    <w:rsid w:val="00B2264D"/>
    <w:rsid w:val="00B22F2C"/>
    <w:rsid w:val="00B25090"/>
    <w:rsid w:val="00B26592"/>
    <w:rsid w:val="00B26698"/>
    <w:rsid w:val="00B268F5"/>
    <w:rsid w:val="00B31862"/>
    <w:rsid w:val="00B31B59"/>
    <w:rsid w:val="00B323B3"/>
    <w:rsid w:val="00B3342B"/>
    <w:rsid w:val="00B335B3"/>
    <w:rsid w:val="00B3449F"/>
    <w:rsid w:val="00B3492A"/>
    <w:rsid w:val="00B35CD2"/>
    <w:rsid w:val="00B37303"/>
    <w:rsid w:val="00B3756C"/>
    <w:rsid w:val="00B40A36"/>
    <w:rsid w:val="00B40A7C"/>
    <w:rsid w:val="00B411A7"/>
    <w:rsid w:val="00B41248"/>
    <w:rsid w:val="00B4277A"/>
    <w:rsid w:val="00B45865"/>
    <w:rsid w:val="00B47829"/>
    <w:rsid w:val="00B531E7"/>
    <w:rsid w:val="00B54DAD"/>
    <w:rsid w:val="00B55B9A"/>
    <w:rsid w:val="00B56E4A"/>
    <w:rsid w:val="00B6027D"/>
    <w:rsid w:val="00B60DB8"/>
    <w:rsid w:val="00B61E06"/>
    <w:rsid w:val="00B62061"/>
    <w:rsid w:val="00B626D0"/>
    <w:rsid w:val="00B6347B"/>
    <w:rsid w:val="00B634AD"/>
    <w:rsid w:val="00B652FE"/>
    <w:rsid w:val="00B65FDB"/>
    <w:rsid w:val="00B67BB1"/>
    <w:rsid w:val="00B70868"/>
    <w:rsid w:val="00B70C79"/>
    <w:rsid w:val="00B7141B"/>
    <w:rsid w:val="00B754CC"/>
    <w:rsid w:val="00B75516"/>
    <w:rsid w:val="00B76504"/>
    <w:rsid w:val="00B77077"/>
    <w:rsid w:val="00B77307"/>
    <w:rsid w:val="00B80204"/>
    <w:rsid w:val="00B81064"/>
    <w:rsid w:val="00B849F0"/>
    <w:rsid w:val="00B84A5B"/>
    <w:rsid w:val="00B86679"/>
    <w:rsid w:val="00B9179A"/>
    <w:rsid w:val="00B91851"/>
    <w:rsid w:val="00B91FE7"/>
    <w:rsid w:val="00B925AB"/>
    <w:rsid w:val="00B92AFC"/>
    <w:rsid w:val="00B9302E"/>
    <w:rsid w:val="00B93BF6"/>
    <w:rsid w:val="00B93E1E"/>
    <w:rsid w:val="00B96715"/>
    <w:rsid w:val="00B96BBE"/>
    <w:rsid w:val="00B97667"/>
    <w:rsid w:val="00BA2C7C"/>
    <w:rsid w:val="00BA35EA"/>
    <w:rsid w:val="00BA3D25"/>
    <w:rsid w:val="00BA4B88"/>
    <w:rsid w:val="00BA57EA"/>
    <w:rsid w:val="00BA5FFA"/>
    <w:rsid w:val="00BA6091"/>
    <w:rsid w:val="00BA7762"/>
    <w:rsid w:val="00BB09C9"/>
    <w:rsid w:val="00BB0BCE"/>
    <w:rsid w:val="00BB1D39"/>
    <w:rsid w:val="00BB242E"/>
    <w:rsid w:val="00BB24D2"/>
    <w:rsid w:val="00BB44B2"/>
    <w:rsid w:val="00BB4839"/>
    <w:rsid w:val="00BB4E56"/>
    <w:rsid w:val="00BB5259"/>
    <w:rsid w:val="00BC05C4"/>
    <w:rsid w:val="00BC233C"/>
    <w:rsid w:val="00BC52BB"/>
    <w:rsid w:val="00BC7FD4"/>
    <w:rsid w:val="00BD3492"/>
    <w:rsid w:val="00BD56B5"/>
    <w:rsid w:val="00BE07ED"/>
    <w:rsid w:val="00BE1F7E"/>
    <w:rsid w:val="00BE209D"/>
    <w:rsid w:val="00BE22F8"/>
    <w:rsid w:val="00BE49E5"/>
    <w:rsid w:val="00BE64E4"/>
    <w:rsid w:val="00BF36EE"/>
    <w:rsid w:val="00BF3DD7"/>
    <w:rsid w:val="00BF40B4"/>
    <w:rsid w:val="00BF44CB"/>
    <w:rsid w:val="00BF458A"/>
    <w:rsid w:val="00BF4629"/>
    <w:rsid w:val="00BF5517"/>
    <w:rsid w:val="00BF5C3D"/>
    <w:rsid w:val="00BF7E15"/>
    <w:rsid w:val="00BF7EC3"/>
    <w:rsid w:val="00C00626"/>
    <w:rsid w:val="00C03BE1"/>
    <w:rsid w:val="00C03E16"/>
    <w:rsid w:val="00C045F5"/>
    <w:rsid w:val="00C053C8"/>
    <w:rsid w:val="00C07239"/>
    <w:rsid w:val="00C10A5B"/>
    <w:rsid w:val="00C10DE2"/>
    <w:rsid w:val="00C11A14"/>
    <w:rsid w:val="00C11E5E"/>
    <w:rsid w:val="00C15F66"/>
    <w:rsid w:val="00C20A47"/>
    <w:rsid w:val="00C20DFA"/>
    <w:rsid w:val="00C21BA2"/>
    <w:rsid w:val="00C223AC"/>
    <w:rsid w:val="00C23A72"/>
    <w:rsid w:val="00C2461A"/>
    <w:rsid w:val="00C24CCF"/>
    <w:rsid w:val="00C2593E"/>
    <w:rsid w:val="00C277B0"/>
    <w:rsid w:val="00C27ED4"/>
    <w:rsid w:val="00C31BE2"/>
    <w:rsid w:val="00C32CB1"/>
    <w:rsid w:val="00C33550"/>
    <w:rsid w:val="00C35469"/>
    <w:rsid w:val="00C363A0"/>
    <w:rsid w:val="00C40083"/>
    <w:rsid w:val="00C40BFD"/>
    <w:rsid w:val="00C40CC8"/>
    <w:rsid w:val="00C41238"/>
    <w:rsid w:val="00C417A5"/>
    <w:rsid w:val="00C4185C"/>
    <w:rsid w:val="00C4321C"/>
    <w:rsid w:val="00C4545E"/>
    <w:rsid w:val="00C458AE"/>
    <w:rsid w:val="00C46031"/>
    <w:rsid w:val="00C506BA"/>
    <w:rsid w:val="00C506EE"/>
    <w:rsid w:val="00C50DE7"/>
    <w:rsid w:val="00C515FE"/>
    <w:rsid w:val="00C521EA"/>
    <w:rsid w:val="00C5286C"/>
    <w:rsid w:val="00C54166"/>
    <w:rsid w:val="00C546F6"/>
    <w:rsid w:val="00C560CE"/>
    <w:rsid w:val="00C56154"/>
    <w:rsid w:val="00C60496"/>
    <w:rsid w:val="00C60776"/>
    <w:rsid w:val="00C60E33"/>
    <w:rsid w:val="00C60EF4"/>
    <w:rsid w:val="00C610F2"/>
    <w:rsid w:val="00C61428"/>
    <w:rsid w:val="00C6211D"/>
    <w:rsid w:val="00C63117"/>
    <w:rsid w:val="00C646CC"/>
    <w:rsid w:val="00C64C34"/>
    <w:rsid w:val="00C653A6"/>
    <w:rsid w:val="00C661DB"/>
    <w:rsid w:val="00C66EB5"/>
    <w:rsid w:val="00C72DE5"/>
    <w:rsid w:val="00C733C0"/>
    <w:rsid w:val="00C73571"/>
    <w:rsid w:val="00C739CC"/>
    <w:rsid w:val="00C73D35"/>
    <w:rsid w:val="00C74C19"/>
    <w:rsid w:val="00C75747"/>
    <w:rsid w:val="00C75AF3"/>
    <w:rsid w:val="00C75DB1"/>
    <w:rsid w:val="00C76627"/>
    <w:rsid w:val="00C77149"/>
    <w:rsid w:val="00C775CC"/>
    <w:rsid w:val="00C77704"/>
    <w:rsid w:val="00C77C0A"/>
    <w:rsid w:val="00C77ED1"/>
    <w:rsid w:val="00C77FEB"/>
    <w:rsid w:val="00C82187"/>
    <w:rsid w:val="00C8275E"/>
    <w:rsid w:val="00C830F6"/>
    <w:rsid w:val="00C83157"/>
    <w:rsid w:val="00C834B8"/>
    <w:rsid w:val="00C8362B"/>
    <w:rsid w:val="00C84B2E"/>
    <w:rsid w:val="00C84E60"/>
    <w:rsid w:val="00C84FBD"/>
    <w:rsid w:val="00C85526"/>
    <w:rsid w:val="00C85BDD"/>
    <w:rsid w:val="00C85FD6"/>
    <w:rsid w:val="00C86263"/>
    <w:rsid w:val="00C8676B"/>
    <w:rsid w:val="00C87E8B"/>
    <w:rsid w:val="00C91FDC"/>
    <w:rsid w:val="00C9263A"/>
    <w:rsid w:val="00C92B40"/>
    <w:rsid w:val="00C92F5E"/>
    <w:rsid w:val="00C93060"/>
    <w:rsid w:val="00C96509"/>
    <w:rsid w:val="00C96601"/>
    <w:rsid w:val="00C969FD"/>
    <w:rsid w:val="00C97F9C"/>
    <w:rsid w:val="00CA1398"/>
    <w:rsid w:val="00CA1780"/>
    <w:rsid w:val="00CA1C48"/>
    <w:rsid w:val="00CA1E43"/>
    <w:rsid w:val="00CA25ED"/>
    <w:rsid w:val="00CA2A44"/>
    <w:rsid w:val="00CA469B"/>
    <w:rsid w:val="00CA4778"/>
    <w:rsid w:val="00CA6348"/>
    <w:rsid w:val="00CB0F5C"/>
    <w:rsid w:val="00CB2ABF"/>
    <w:rsid w:val="00CC00C2"/>
    <w:rsid w:val="00CC0887"/>
    <w:rsid w:val="00CC0E06"/>
    <w:rsid w:val="00CC206D"/>
    <w:rsid w:val="00CC31B4"/>
    <w:rsid w:val="00CC534D"/>
    <w:rsid w:val="00CC67CF"/>
    <w:rsid w:val="00CC6E2C"/>
    <w:rsid w:val="00CC6E35"/>
    <w:rsid w:val="00CC77A0"/>
    <w:rsid w:val="00CD313D"/>
    <w:rsid w:val="00CD6A05"/>
    <w:rsid w:val="00CE033F"/>
    <w:rsid w:val="00CE067B"/>
    <w:rsid w:val="00CE167E"/>
    <w:rsid w:val="00CE19B1"/>
    <w:rsid w:val="00CE1C19"/>
    <w:rsid w:val="00CE1EDE"/>
    <w:rsid w:val="00CE2546"/>
    <w:rsid w:val="00CE2890"/>
    <w:rsid w:val="00CE31D6"/>
    <w:rsid w:val="00CE411E"/>
    <w:rsid w:val="00CE41CA"/>
    <w:rsid w:val="00CE5497"/>
    <w:rsid w:val="00CE6524"/>
    <w:rsid w:val="00CE6E29"/>
    <w:rsid w:val="00CE7A7F"/>
    <w:rsid w:val="00CF1745"/>
    <w:rsid w:val="00CF22EE"/>
    <w:rsid w:val="00CF2DCE"/>
    <w:rsid w:val="00CF3108"/>
    <w:rsid w:val="00CF3EA1"/>
    <w:rsid w:val="00CF5577"/>
    <w:rsid w:val="00CF66AC"/>
    <w:rsid w:val="00CF6F42"/>
    <w:rsid w:val="00CF7457"/>
    <w:rsid w:val="00CF792B"/>
    <w:rsid w:val="00D01251"/>
    <w:rsid w:val="00D0307F"/>
    <w:rsid w:val="00D04025"/>
    <w:rsid w:val="00D0535F"/>
    <w:rsid w:val="00D05774"/>
    <w:rsid w:val="00D0626B"/>
    <w:rsid w:val="00D06A5A"/>
    <w:rsid w:val="00D07F3E"/>
    <w:rsid w:val="00D10B9D"/>
    <w:rsid w:val="00D12243"/>
    <w:rsid w:val="00D1351E"/>
    <w:rsid w:val="00D15CC4"/>
    <w:rsid w:val="00D1755A"/>
    <w:rsid w:val="00D17D05"/>
    <w:rsid w:val="00D21F6E"/>
    <w:rsid w:val="00D223CE"/>
    <w:rsid w:val="00D23C43"/>
    <w:rsid w:val="00D24E32"/>
    <w:rsid w:val="00D2504A"/>
    <w:rsid w:val="00D25835"/>
    <w:rsid w:val="00D25C47"/>
    <w:rsid w:val="00D26F31"/>
    <w:rsid w:val="00D31BCF"/>
    <w:rsid w:val="00D338FA"/>
    <w:rsid w:val="00D3462A"/>
    <w:rsid w:val="00D3540E"/>
    <w:rsid w:val="00D36442"/>
    <w:rsid w:val="00D40F50"/>
    <w:rsid w:val="00D41150"/>
    <w:rsid w:val="00D4146F"/>
    <w:rsid w:val="00D415B6"/>
    <w:rsid w:val="00D45541"/>
    <w:rsid w:val="00D46ED9"/>
    <w:rsid w:val="00D51EE6"/>
    <w:rsid w:val="00D52160"/>
    <w:rsid w:val="00D5286F"/>
    <w:rsid w:val="00D5383D"/>
    <w:rsid w:val="00D54E42"/>
    <w:rsid w:val="00D55744"/>
    <w:rsid w:val="00D56ACA"/>
    <w:rsid w:val="00D57B54"/>
    <w:rsid w:val="00D57DAA"/>
    <w:rsid w:val="00D60BBB"/>
    <w:rsid w:val="00D62FEC"/>
    <w:rsid w:val="00D638BF"/>
    <w:rsid w:val="00D638E9"/>
    <w:rsid w:val="00D6407F"/>
    <w:rsid w:val="00D65CD2"/>
    <w:rsid w:val="00D6697F"/>
    <w:rsid w:val="00D66B55"/>
    <w:rsid w:val="00D6716D"/>
    <w:rsid w:val="00D67E4A"/>
    <w:rsid w:val="00D67EF7"/>
    <w:rsid w:val="00D70713"/>
    <w:rsid w:val="00D70A38"/>
    <w:rsid w:val="00D74A76"/>
    <w:rsid w:val="00D750F5"/>
    <w:rsid w:val="00D817F5"/>
    <w:rsid w:val="00D81AC0"/>
    <w:rsid w:val="00D81C52"/>
    <w:rsid w:val="00D82F49"/>
    <w:rsid w:val="00D830A9"/>
    <w:rsid w:val="00D8487A"/>
    <w:rsid w:val="00D854B9"/>
    <w:rsid w:val="00D87EF0"/>
    <w:rsid w:val="00D916CA"/>
    <w:rsid w:val="00D91CD6"/>
    <w:rsid w:val="00D92267"/>
    <w:rsid w:val="00D9230E"/>
    <w:rsid w:val="00D92D6D"/>
    <w:rsid w:val="00D92D8E"/>
    <w:rsid w:val="00D935EC"/>
    <w:rsid w:val="00D941D7"/>
    <w:rsid w:val="00D95666"/>
    <w:rsid w:val="00D95874"/>
    <w:rsid w:val="00D96176"/>
    <w:rsid w:val="00D966DA"/>
    <w:rsid w:val="00DA1AB5"/>
    <w:rsid w:val="00DA313E"/>
    <w:rsid w:val="00DA316B"/>
    <w:rsid w:val="00DA3BFC"/>
    <w:rsid w:val="00DA3CE8"/>
    <w:rsid w:val="00DA4238"/>
    <w:rsid w:val="00DA4369"/>
    <w:rsid w:val="00DA4463"/>
    <w:rsid w:val="00DA63EF"/>
    <w:rsid w:val="00DA6DDD"/>
    <w:rsid w:val="00DB020C"/>
    <w:rsid w:val="00DB0DEA"/>
    <w:rsid w:val="00DB1454"/>
    <w:rsid w:val="00DB1FEA"/>
    <w:rsid w:val="00DB2693"/>
    <w:rsid w:val="00DB28C2"/>
    <w:rsid w:val="00DB4586"/>
    <w:rsid w:val="00DB5A6E"/>
    <w:rsid w:val="00DB607C"/>
    <w:rsid w:val="00DB6246"/>
    <w:rsid w:val="00DB6ADB"/>
    <w:rsid w:val="00DC0096"/>
    <w:rsid w:val="00DC08B2"/>
    <w:rsid w:val="00DC184E"/>
    <w:rsid w:val="00DC28EB"/>
    <w:rsid w:val="00DC2B66"/>
    <w:rsid w:val="00DC3808"/>
    <w:rsid w:val="00DC3C23"/>
    <w:rsid w:val="00DD0725"/>
    <w:rsid w:val="00DD1032"/>
    <w:rsid w:val="00DD2AAF"/>
    <w:rsid w:val="00DD3BD8"/>
    <w:rsid w:val="00DD4793"/>
    <w:rsid w:val="00DD4FBF"/>
    <w:rsid w:val="00DD6D5B"/>
    <w:rsid w:val="00DD76C8"/>
    <w:rsid w:val="00DE59AB"/>
    <w:rsid w:val="00DE5DE5"/>
    <w:rsid w:val="00DE652E"/>
    <w:rsid w:val="00DE6968"/>
    <w:rsid w:val="00DE6A68"/>
    <w:rsid w:val="00DE70CF"/>
    <w:rsid w:val="00DE7606"/>
    <w:rsid w:val="00DE7D20"/>
    <w:rsid w:val="00DF2955"/>
    <w:rsid w:val="00DF4417"/>
    <w:rsid w:val="00DF5010"/>
    <w:rsid w:val="00DF5839"/>
    <w:rsid w:val="00DF5C90"/>
    <w:rsid w:val="00DF63DB"/>
    <w:rsid w:val="00E0182A"/>
    <w:rsid w:val="00E02D7B"/>
    <w:rsid w:val="00E03412"/>
    <w:rsid w:val="00E051E7"/>
    <w:rsid w:val="00E062A1"/>
    <w:rsid w:val="00E06779"/>
    <w:rsid w:val="00E06837"/>
    <w:rsid w:val="00E075F6"/>
    <w:rsid w:val="00E11F16"/>
    <w:rsid w:val="00E132FD"/>
    <w:rsid w:val="00E13878"/>
    <w:rsid w:val="00E138F4"/>
    <w:rsid w:val="00E13ACB"/>
    <w:rsid w:val="00E1454A"/>
    <w:rsid w:val="00E152F8"/>
    <w:rsid w:val="00E15ADB"/>
    <w:rsid w:val="00E15B10"/>
    <w:rsid w:val="00E16A4E"/>
    <w:rsid w:val="00E16BED"/>
    <w:rsid w:val="00E21C44"/>
    <w:rsid w:val="00E22CD6"/>
    <w:rsid w:val="00E2309F"/>
    <w:rsid w:val="00E2425C"/>
    <w:rsid w:val="00E24387"/>
    <w:rsid w:val="00E2463E"/>
    <w:rsid w:val="00E272C3"/>
    <w:rsid w:val="00E27D6E"/>
    <w:rsid w:val="00E358B7"/>
    <w:rsid w:val="00E35AC9"/>
    <w:rsid w:val="00E35B3B"/>
    <w:rsid w:val="00E3631F"/>
    <w:rsid w:val="00E369CA"/>
    <w:rsid w:val="00E36C76"/>
    <w:rsid w:val="00E402C2"/>
    <w:rsid w:val="00E40733"/>
    <w:rsid w:val="00E41873"/>
    <w:rsid w:val="00E43010"/>
    <w:rsid w:val="00E444C2"/>
    <w:rsid w:val="00E454FB"/>
    <w:rsid w:val="00E46A98"/>
    <w:rsid w:val="00E47DB2"/>
    <w:rsid w:val="00E47F49"/>
    <w:rsid w:val="00E50B04"/>
    <w:rsid w:val="00E5178D"/>
    <w:rsid w:val="00E53556"/>
    <w:rsid w:val="00E5355B"/>
    <w:rsid w:val="00E548C6"/>
    <w:rsid w:val="00E54FF9"/>
    <w:rsid w:val="00E56A44"/>
    <w:rsid w:val="00E57257"/>
    <w:rsid w:val="00E57710"/>
    <w:rsid w:val="00E57888"/>
    <w:rsid w:val="00E6008C"/>
    <w:rsid w:val="00E61036"/>
    <w:rsid w:val="00E62E52"/>
    <w:rsid w:val="00E631AD"/>
    <w:rsid w:val="00E632E3"/>
    <w:rsid w:val="00E6413C"/>
    <w:rsid w:val="00E65205"/>
    <w:rsid w:val="00E66D31"/>
    <w:rsid w:val="00E66E92"/>
    <w:rsid w:val="00E704CE"/>
    <w:rsid w:val="00E70F31"/>
    <w:rsid w:val="00E719C1"/>
    <w:rsid w:val="00E71B8E"/>
    <w:rsid w:val="00E71C19"/>
    <w:rsid w:val="00E730DB"/>
    <w:rsid w:val="00E74526"/>
    <w:rsid w:val="00E753FB"/>
    <w:rsid w:val="00E75EC8"/>
    <w:rsid w:val="00E767C4"/>
    <w:rsid w:val="00E76C82"/>
    <w:rsid w:val="00E76DF0"/>
    <w:rsid w:val="00E76F1D"/>
    <w:rsid w:val="00E80275"/>
    <w:rsid w:val="00E81546"/>
    <w:rsid w:val="00E815B0"/>
    <w:rsid w:val="00E81840"/>
    <w:rsid w:val="00E81B37"/>
    <w:rsid w:val="00E8338F"/>
    <w:rsid w:val="00E862BC"/>
    <w:rsid w:val="00E90DC5"/>
    <w:rsid w:val="00E92754"/>
    <w:rsid w:val="00E9368D"/>
    <w:rsid w:val="00E93726"/>
    <w:rsid w:val="00E93BDC"/>
    <w:rsid w:val="00E93C2C"/>
    <w:rsid w:val="00E93DA4"/>
    <w:rsid w:val="00E9452B"/>
    <w:rsid w:val="00E94CD3"/>
    <w:rsid w:val="00E96F53"/>
    <w:rsid w:val="00E97A5D"/>
    <w:rsid w:val="00E97CB0"/>
    <w:rsid w:val="00EA0D4D"/>
    <w:rsid w:val="00EA138A"/>
    <w:rsid w:val="00EA370B"/>
    <w:rsid w:val="00EA3D6F"/>
    <w:rsid w:val="00EA7683"/>
    <w:rsid w:val="00EB1FAD"/>
    <w:rsid w:val="00EB3D3F"/>
    <w:rsid w:val="00EB490E"/>
    <w:rsid w:val="00EB57C9"/>
    <w:rsid w:val="00EB707C"/>
    <w:rsid w:val="00EB7555"/>
    <w:rsid w:val="00EB7EA9"/>
    <w:rsid w:val="00EC01BC"/>
    <w:rsid w:val="00EC0676"/>
    <w:rsid w:val="00EC44AC"/>
    <w:rsid w:val="00EC4608"/>
    <w:rsid w:val="00EC4777"/>
    <w:rsid w:val="00EC55D7"/>
    <w:rsid w:val="00EC5DC6"/>
    <w:rsid w:val="00EC6C20"/>
    <w:rsid w:val="00EC6DBA"/>
    <w:rsid w:val="00EC74EA"/>
    <w:rsid w:val="00ED0A1B"/>
    <w:rsid w:val="00ED0C97"/>
    <w:rsid w:val="00ED2E2A"/>
    <w:rsid w:val="00ED3D31"/>
    <w:rsid w:val="00ED6798"/>
    <w:rsid w:val="00ED69C8"/>
    <w:rsid w:val="00ED7354"/>
    <w:rsid w:val="00ED7674"/>
    <w:rsid w:val="00EE0918"/>
    <w:rsid w:val="00EE2428"/>
    <w:rsid w:val="00EE2897"/>
    <w:rsid w:val="00EE52E6"/>
    <w:rsid w:val="00EE6C35"/>
    <w:rsid w:val="00EF1367"/>
    <w:rsid w:val="00EF2626"/>
    <w:rsid w:val="00EF2F34"/>
    <w:rsid w:val="00EF602B"/>
    <w:rsid w:val="00EF6DC5"/>
    <w:rsid w:val="00EF7060"/>
    <w:rsid w:val="00EF79A0"/>
    <w:rsid w:val="00EF7B25"/>
    <w:rsid w:val="00EF7CE7"/>
    <w:rsid w:val="00F00E83"/>
    <w:rsid w:val="00F00EC4"/>
    <w:rsid w:val="00F0209D"/>
    <w:rsid w:val="00F02B5E"/>
    <w:rsid w:val="00F034A3"/>
    <w:rsid w:val="00F04E2F"/>
    <w:rsid w:val="00F05B7A"/>
    <w:rsid w:val="00F07D52"/>
    <w:rsid w:val="00F105D0"/>
    <w:rsid w:val="00F11784"/>
    <w:rsid w:val="00F1307E"/>
    <w:rsid w:val="00F13DFA"/>
    <w:rsid w:val="00F14556"/>
    <w:rsid w:val="00F154D3"/>
    <w:rsid w:val="00F16054"/>
    <w:rsid w:val="00F1720D"/>
    <w:rsid w:val="00F20E8C"/>
    <w:rsid w:val="00F21048"/>
    <w:rsid w:val="00F22628"/>
    <w:rsid w:val="00F22E0B"/>
    <w:rsid w:val="00F23A72"/>
    <w:rsid w:val="00F23B3F"/>
    <w:rsid w:val="00F243A3"/>
    <w:rsid w:val="00F24FCD"/>
    <w:rsid w:val="00F250BD"/>
    <w:rsid w:val="00F25539"/>
    <w:rsid w:val="00F26B41"/>
    <w:rsid w:val="00F27727"/>
    <w:rsid w:val="00F309B5"/>
    <w:rsid w:val="00F30ADE"/>
    <w:rsid w:val="00F31A69"/>
    <w:rsid w:val="00F33A5A"/>
    <w:rsid w:val="00F3710B"/>
    <w:rsid w:val="00F37B00"/>
    <w:rsid w:val="00F37D29"/>
    <w:rsid w:val="00F4138C"/>
    <w:rsid w:val="00F41D01"/>
    <w:rsid w:val="00F41F29"/>
    <w:rsid w:val="00F45859"/>
    <w:rsid w:val="00F47B0D"/>
    <w:rsid w:val="00F51764"/>
    <w:rsid w:val="00F52122"/>
    <w:rsid w:val="00F5261B"/>
    <w:rsid w:val="00F52D3A"/>
    <w:rsid w:val="00F54571"/>
    <w:rsid w:val="00F55592"/>
    <w:rsid w:val="00F558FC"/>
    <w:rsid w:val="00F56415"/>
    <w:rsid w:val="00F56944"/>
    <w:rsid w:val="00F5728C"/>
    <w:rsid w:val="00F60C17"/>
    <w:rsid w:val="00F6159D"/>
    <w:rsid w:val="00F65481"/>
    <w:rsid w:val="00F6700A"/>
    <w:rsid w:val="00F7320F"/>
    <w:rsid w:val="00F75A28"/>
    <w:rsid w:val="00F76843"/>
    <w:rsid w:val="00F816F5"/>
    <w:rsid w:val="00F828D2"/>
    <w:rsid w:val="00F82B83"/>
    <w:rsid w:val="00F83437"/>
    <w:rsid w:val="00F90C91"/>
    <w:rsid w:val="00F92BB8"/>
    <w:rsid w:val="00F933B9"/>
    <w:rsid w:val="00F94981"/>
    <w:rsid w:val="00F9586C"/>
    <w:rsid w:val="00FA2D68"/>
    <w:rsid w:val="00FA322B"/>
    <w:rsid w:val="00FA456D"/>
    <w:rsid w:val="00FA573E"/>
    <w:rsid w:val="00FA6A26"/>
    <w:rsid w:val="00FA7F5D"/>
    <w:rsid w:val="00FB362D"/>
    <w:rsid w:val="00FB6243"/>
    <w:rsid w:val="00FB754F"/>
    <w:rsid w:val="00FB772F"/>
    <w:rsid w:val="00FB7F79"/>
    <w:rsid w:val="00FC0240"/>
    <w:rsid w:val="00FC0511"/>
    <w:rsid w:val="00FC067F"/>
    <w:rsid w:val="00FC18A6"/>
    <w:rsid w:val="00FC18CE"/>
    <w:rsid w:val="00FC2185"/>
    <w:rsid w:val="00FC4978"/>
    <w:rsid w:val="00FC56A8"/>
    <w:rsid w:val="00FC57E1"/>
    <w:rsid w:val="00FC61D7"/>
    <w:rsid w:val="00FC6708"/>
    <w:rsid w:val="00FC6B9F"/>
    <w:rsid w:val="00FD216A"/>
    <w:rsid w:val="00FD7AAD"/>
    <w:rsid w:val="00FE1620"/>
    <w:rsid w:val="00FE2D6E"/>
    <w:rsid w:val="00FE3A95"/>
    <w:rsid w:val="00FE5164"/>
    <w:rsid w:val="00FE52CC"/>
    <w:rsid w:val="00FE58AF"/>
    <w:rsid w:val="00FE79CF"/>
    <w:rsid w:val="00FF174A"/>
    <w:rsid w:val="00FF2CB6"/>
    <w:rsid w:val="00FF2F2F"/>
    <w:rsid w:val="00FF4A00"/>
    <w:rsid w:val="00FF5957"/>
    <w:rsid w:val="03C10167"/>
    <w:rsid w:val="07C144F8"/>
    <w:rsid w:val="08022403"/>
    <w:rsid w:val="082F2A9B"/>
    <w:rsid w:val="085570FC"/>
    <w:rsid w:val="08753CCF"/>
    <w:rsid w:val="09DC5520"/>
    <w:rsid w:val="09F24463"/>
    <w:rsid w:val="0D503E37"/>
    <w:rsid w:val="0E4F79D4"/>
    <w:rsid w:val="109B37B8"/>
    <w:rsid w:val="11945898"/>
    <w:rsid w:val="13B76301"/>
    <w:rsid w:val="154269EB"/>
    <w:rsid w:val="15CB0F18"/>
    <w:rsid w:val="198260E0"/>
    <w:rsid w:val="198B1DF6"/>
    <w:rsid w:val="1BF339D6"/>
    <w:rsid w:val="1BFE1E65"/>
    <w:rsid w:val="1F243AFC"/>
    <w:rsid w:val="1FF6226D"/>
    <w:rsid w:val="299941A0"/>
    <w:rsid w:val="2A7933FE"/>
    <w:rsid w:val="2B227534"/>
    <w:rsid w:val="2BA36CD8"/>
    <w:rsid w:val="2C7F317A"/>
    <w:rsid w:val="2D024C11"/>
    <w:rsid w:val="2EB4247D"/>
    <w:rsid w:val="33606CD5"/>
    <w:rsid w:val="35C56715"/>
    <w:rsid w:val="3919659C"/>
    <w:rsid w:val="3A4531F7"/>
    <w:rsid w:val="3FAA3F62"/>
    <w:rsid w:val="40733226"/>
    <w:rsid w:val="408923C7"/>
    <w:rsid w:val="414F32A2"/>
    <w:rsid w:val="41EA678C"/>
    <w:rsid w:val="42932506"/>
    <w:rsid w:val="435A42A9"/>
    <w:rsid w:val="44DA466E"/>
    <w:rsid w:val="462E7E01"/>
    <w:rsid w:val="47673B92"/>
    <w:rsid w:val="48CF3CDF"/>
    <w:rsid w:val="4CF55302"/>
    <w:rsid w:val="4F94417E"/>
    <w:rsid w:val="55EE71A6"/>
    <w:rsid w:val="56033B8B"/>
    <w:rsid w:val="5B206FE4"/>
    <w:rsid w:val="611E45AF"/>
    <w:rsid w:val="617E512A"/>
    <w:rsid w:val="61E34811"/>
    <w:rsid w:val="62590771"/>
    <w:rsid w:val="63C102CA"/>
    <w:rsid w:val="63D75ACA"/>
    <w:rsid w:val="63FA04A3"/>
    <w:rsid w:val="6415071F"/>
    <w:rsid w:val="64222F94"/>
    <w:rsid w:val="64A006B0"/>
    <w:rsid w:val="64A60C6C"/>
    <w:rsid w:val="6932367E"/>
    <w:rsid w:val="6A321724"/>
    <w:rsid w:val="6B20593D"/>
    <w:rsid w:val="6BF13011"/>
    <w:rsid w:val="6EE74153"/>
    <w:rsid w:val="6F956D93"/>
    <w:rsid w:val="70E24468"/>
    <w:rsid w:val="740746FD"/>
    <w:rsid w:val="7498050B"/>
    <w:rsid w:val="786D6DFF"/>
    <w:rsid w:val="794B4DF4"/>
    <w:rsid w:val="7D8D3C20"/>
    <w:rsid w:val="7F4D1B04"/>
    <w:rsid w:val="7F5D6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eastAsia="方正仿宋_GBK"/>
      <w:kern w:val="2"/>
      <w:sz w:val="32"/>
      <w:szCs w:val="24"/>
      <w:lang w:val="en-US" w:eastAsia="zh-CN" w:bidi="ar-SA"/>
    </w:rPr>
  </w:style>
  <w:style w:type="paragraph" w:styleId="3">
    <w:name w:val="heading 1"/>
    <w:basedOn w:val="1"/>
    <w:next w:val="1"/>
    <w:link w:val="32"/>
    <w:qFormat/>
    <w:uiPriority w:val="0"/>
    <w:pPr>
      <w:keepNext/>
      <w:keepLines/>
      <w:spacing w:line="594" w:lineRule="exact"/>
      <w:ind w:left="200" w:leftChars="200"/>
      <w:outlineLvl w:val="0"/>
    </w:pPr>
    <w:rPr>
      <w:rFonts w:eastAsia="方正黑体_GBK"/>
      <w:bCs/>
      <w:kern w:val="44"/>
      <w:szCs w:val="44"/>
    </w:rPr>
  </w:style>
  <w:style w:type="character" w:default="1" w:styleId="18">
    <w:name w:val="Default Paragraph Font"/>
    <w:semiHidden/>
    <w:uiPriority w:val="0"/>
  </w:style>
  <w:style w:type="table" w:default="1" w:styleId="16">
    <w:name w:val="Normal Table"/>
    <w:semiHidden/>
    <w:uiPriority w:val="0"/>
    <w:tblPr>
      <w:tblStyle w:val="16"/>
      <w:tblLayout w:type="fixed"/>
      <w:tblCellMar>
        <w:top w:w="0" w:type="dxa"/>
        <w:left w:w="108" w:type="dxa"/>
        <w:bottom w:w="0" w:type="dxa"/>
        <w:right w:w="108" w:type="dxa"/>
      </w:tblCellMar>
    </w:tblPr>
  </w:style>
  <w:style w:type="paragraph" w:styleId="2">
    <w:name w:val="Body Text"/>
    <w:basedOn w:val="1"/>
    <w:uiPriority w:val="0"/>
    <w:pPr>
      <w:spacing w:after="120"/>
    </w:pPr>
    <w:rPr>
      <w:kern w:val="0"/>
    </w:rPr>
  </w:style>
  <w:style w:type="paragraph" w:styleId="4">
    <w:name w:val="Document Map"/>
    <w:basedOn w:val="1"/>
    <w:link w:val="29"/>
    <w:uiPriority w:val="0"/>
    <w:rPr>
      <w:rFonts w:ascii="宋体" w:eastAsia="宋体"/>
      <w:sz w:val="18"/>
      <w:szCs w:val="18"/>
    </w:rPr>
  </w:style>
  <w:style w:type="paragraph" w:styleId="5">
    <w:name w:val="annotation text"/>
    <w:basedOn w:val="1"/>
    <w:link w:val="34"/>
    <w:uiPriority w:val="0"/>
    <w:pPr>
      <w:jc w:val="left"/>
    </w:pPr>
  </w:style>
  <w:style w:type="paragraph" w:styleId="6">
    <w:name w:val="Body Text Indent"/>
    <w:basedOn w:val="1"/>
    <w:uiPriority w:val="0"/>
    <w:pPr>
      <w:ind w:firstLine="626"/>
    </w:pPr>
    <w:rPr>
      <w:rFonts w:ascii="仿宋_GB2312" w:eastAsia="仿宋_GB2312"/>
      <w:bCs/>
      <w:sz w:val="32"/>
    </w:rPr>
  </w:style>
  <w:style w:type="paragraph" w:styleId="7">
    <w:name w:val="endnote text"/>
    <w:basedOn w:val="1"/>
    <w:link w:val="24"/>
    <w:uiPriority w:val="0"/>
    <w:pPr>
      <w:snapToGrid w:val="0"/>
      <w:jc w:val="left"/>
    </w:pPr>
  </w:style>
  <w:style w:type="paragraph" w:styleId="8">
    <w:name w:val="Balloon Text"/>
    <w:basedOn w:val="1"/>
    <w:link w:val="26"/>
    <w:uiPriority w:val="0"/>
    <w:pPr>
      <w:spacing w:line="240" w:lineRule="auto"/>
    </w:pPr>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0"/>
    <w:pPr>
      <w:spacing w:line="594" w:lineRule="exact"/>
      <w:ind w:left="200" w:leftChars="200"/>
      <w:jc w:val="left"/>
      <w:outlineLvl w:val="1"/>
    </w:pPr>
    <w:rPr>
      <w:rFonts w:ascii="等线 Light" w:hAnsi="等线 Light" w:eastAsia="方正楷体_GBK" w:cs="Times New Roman"/>
      <w:bCs/>
      <w:kern w:val="28"/>
      <w:szCs w:val="32"/>
    </w:rPr>
  </w:style>
  <w:style w:type="paragraph" w:styleId="12">
    <w:name w:val="footnote text"/>
    <w:basedOn w:val="1"/>
    <w:link w:val="33"/>
    <w:uiPriority w:val="0"/>
    <w:pPr>
      <w:snapToGrid w:val="0"/>
      <w:jc w:val="left"/>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3"/>
    <w:qFormat/>
    <w:uiPriority w:val="10"/>
    <w:pPr>
      <w:spacing w:line="600" w:lineRule="exact"/>
      <w:jc w:val="center"/>
      <w:outlineLvl w:val="0"/>
    </w:pPr>
    <w:rPr>
      <w:rFonts w:ascii="等线 Light" w:hAnsi="等线 Light" w:eastAsia="方正小标宋_GBK" w:cs="Times New Roman"/>
      <w:bCs/>
      <w:szCs w:val="32"/>
    </w:rPr>
  </w:style>
  <w:style w:type="paragraph" w:styleId="15">
    <w:name w:val="annotation subject"/>
    <w:basedOn w:val="5"/>
    <w:next w:val="5"/>
    <w:link w:val="31"/>
    <w:uiPriority w:val="0"/>
    <w:rPr>
      <w:b/>
      <w:bCs/>
    </w:rPr>
  </w:style>
  <w:style w:type="table" w:styleId="17">
    <w:name w:val="Table Grid"/>
    <w:basedOn w:val="16"/>
    <w:uiPriority w:val="39"/>
    <w:rPr>
      <w:rFonts w:ascii="等线" w:hAnsi="等线" w:eastAsia="等线" w:cs="Times New Roman"/>
      <w:kern w:val="2"/>
      <w:sz w:val="21"/>
      <w:szCs w:val="22"/>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endnote reference"/>
    <w:uiPriority w:val="0"/>
    <w:rPr>
      <w:vertAlign w:val="superscript"/>
    </w:rPr>
  </w:style>
  <w:style w:type="character" w:styleId="20">
    <w:name w:val="page number"/>
    <w:basedOn w:val="18"/>
    <w:uiPriority w:val="0"/>
  </w:style>
  <w:style w:type="character" w:styleId="21">
    <w:name w:val="annotation reference"/>
    <w:uiPriority w:val="0"/>
    <w:rPr>
      <w:sz w:val="21"/>
      <w:szCs w:val="21"/>
    </w:rPr>
  </w:style>
  <w:style w:type="character" w:styleId="22">
    <w:name w:val="footnote reference"/>
    <w:uiPriority w:val="0"/>
    <w:rPr>
      <w:vertAlign w:val="superscript"/>
    </w:rPr>
  </w:style>
  <w:style w:type="character" w:customStyle="1" w:styleId="23">
    <w:name w:val="标题 字符"/>
    <w:link w:val="14"/>
    <w:qFormat/>
    <w:uiPriority w:val="10"/>
    <w:rPr>
      <w:rFonts w:ascii="等线 Light" w:hAnsi="等线 Light" w:eastAsia="方正小标宋_GBK"/>
      <w:bCs/>
      <w:kern w:val="2"/>
      <w:sz w:val="32"/>
      <w:szCs w:val="32"/>
    </w:rPr>
  </w:style>
  <w:style w:type="character" w:customStyle="1" w:styleId="24">
    <w:name w:val="尾注文本 字符"/>
    <w:link w:val="7"/>
    <w:uiPriority w:val="0"/>
    <w:rPr>
      <w:rFonts w:eastAsia="方正仿宋_GBK"/>
      <w:kern w:val="2"/>
      <w:sz w:val="32"/>
      <w:szCs w:val="24"/>
    </w:rPr>
  </w:style>
  <w:style w:type="character" w:customStyle="1" w:styleId="25">
    <w:name w:val="页眉 字符"/>
    <w:link w:val="10"/>
    <w:qFormat/>
    <w:uiPriority w:val="99"/>
    <w:rPr>
      <w:rFonts w:eastAsia="方正仿宋_GBK"/>
      <w:kern w:val="2"/>
      <w:sz w:val="18"/>
      <w:szCs w:val="18"/>
    </w:rPr>
  </w:style>
  <w:style w:type="character" w:customStyle="1" w:styleId="26">
    <w:name w:val="批注框文本 字符"/>
    <w:link w:val="8"/>
    <w:uiPriority w:val="0"/>
    <w:rPr>
      <w:rFonts w:eastAsia="方正仿宋_GBK"/>
      <w:kern w:val="2"/>
      <w:sz w:val="18"/>
      <w:szCs w:val="18"/>
    </w:rPr>
  </w:style>
  <w:style w:type="character" w:customStyle="1" w:styleId="27">
    <w:name w:val="页脚 字符1"/>
    <w:link w:val="9"/>
    <w:qFormat/>
    <w:uiPriority w:val="99"/>
    <w:rPr>
      <w:rFonts w:eastAsia="方正仿宋_GBK"/>
      <w:kern w:val="2"/>
      <w:sz w:val="18"/>
      <w:szCs w:val="18"/>
    </w:rPr>
  </w:style>
  <w:style w:type="character" w:customStyle="1" w:styleId="28">
    <w:name w:val="页脚 字符"/>
    <w:uiPriority w:val="99"/>
  </w:style>
  <w:style w:type="character" w:customStyle="1" w:styleId="29">
    <w:name w:val="文档结构图 字符"/>
    <w:link w:val="4"/>
    <w:uiPriority w:val="0"/>
    <w:rPr>
      <w:rFonts w:ascii="宋体"/>
      <w:kern w:val="2"/>
      <w:sz w:val="18"/>
      <w:szCs w:val="18"/>
    </w:rPr>
  </w:style>
  <w:style w:type="character" w:customStyle="1" w:styleId="30">
    <w:name w:val="副标题 字符"/>
    <w:link w:val="11"/>
    <w:uiPriority w:val="0"/>
    <w:rPr>
      <w:rFonts w:ascii="等线 Light" w:hAnsi="等线 Light" w:eastAsia="方正楷体_GBK" w:cs="Times New Roman"/>
      <w:bCs/>
      <w:kern w:val="28"/>
      <w:sz w:val="32"/>
      <w:szCs w:val="32"/>
    </w:rPr>
  </w:style>
  <w:style w:type="character" w:customStyle="1" w:styleId="31">
    <w:name w:val="批注主题 字符"/>
    <w:link w:val="15"/>
    <w:uiPriority w:val="0"/>
    <w:rPr>
      <w:rFonts w:eastAsia="方正仿宋_GBK"/>
      <w:b/>
      <w:bCs/>
      <w:kern w:val="2"/>
      <w:sz w:val="32"/>
      <w:szCs w:val="24"/>
    </w:rPr>
  </w:style>
  <w:style w:type="character" w:customStyle="1" w:styleId="32">
    <w:name w:val="标题 1 字符"/>
    <w:link w:val="3"/>
    <w:uiPriority w:val="0"/>
    <w:rPr>
      <w:rFonts w:eastAsia="方正黑体_GBK"/>
      <w:bCs/>
      <w:kern w:val="44"/>
      <w:sz w:val="32"/>
      <w:szCs w:val="44"/>
    </w:rPr>
  </w:style>
  <w:style w:type="character" w:customStyle="1" w:styleId="33">
    <w:name w:val="脚注文本 字符"/>
    <w:link w:val="12"/>
    <w:uiPriority w:val="0"/>
    <w:rPr>
      <w:rFonts w:eastAsia="方正仿宋_GBK"/>
      <w:kern w:val="2"/>
      <w:sz w:val="18"/>
      <w:szCs w:val="18"/>
    </w:rPr>
  </w:style>
  <w:style w:type="character" w:customStyle="1" w:styleId="34">
    <w:name w:val="批注文字 字符"/>
    <w:link w:val="5"/>
    <w:uiPriority w:val="0"/>
    <w:rPr>
      <w:rFonts w:eastAsia="方正仿宋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458;&#25143;&#21333;&#20301;\&#37325;&#24198;&#24066;&#29615;&#20445;&#23616;\&#21457;&#25991;&#27169;&#26495;\&#21442;&#25968;&#25991;&#26723;\&#28189;&#29615;&#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渝环函.dot</Template>
  <Company>重庆市环保局</Company>
  <Pages>34</Pages>
  <Words>3118</Words>
  <Characters>17778</Characters>
  <Lines>148</Lines>
  <Paragraphs>41</Paragraphs>
  <TotalTime>5</TotalTime>
  <ScaleCrop>false</ScaleCrop>
  <LinksUpToDate>false</LinksUpToDate>
  <CharactersWithSpaces>20855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2005-09-05T08:01:00Z</dcterms:created>
  <dc:creator>番茄花园</dc:creator>
  <cp:lastModifiedBy>天堂没有天使</cp:lastModifiedBy>
  <cp:lastPrinted>2019-05-27T07:56:25Z</cp:lastPrinted>
  <dcterms:modified xsi:type="dcterms:W3CDTF">2019-05-31T07:30:39Z</dcterms:modified>
  <dc:title>重庆市环境保护局</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