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40" w:lineRule="exact"/>
        <w:rPr>
          <w:rFonts w:hint="eastAsia" w:ascii="Times New Roman" w:hAnsi="Times New Roman" w:eastAsia="方正黑体_GBK" w:cs="方正黑体_GBK"/>
          <w:color w:val="000000" w:themeColor="text1"/>
          <w:kern w:val="0"/>
          <w:sz w:val="32"/>
          <w:szCs w:val="32"/>
          <w:lang w:eastAsia="zh-CN"/>
          <w14:textFill>
            <w14:solidFill>
              <w14:schemeClr w14:val="tx1"/>
            </w14:solidFill>
          </w14:textFill>
        </w:rPr>
      </w:pPr>
      <w:bookmarkStart w:id="0" w:name="_GoBack"/>
      <w:bookmarkEnd w:id="0"/>
      <w:r>
        <w:rPr>
          <w:rFonts w:hint="eastAsia" w:ascii="Times New Roman" w:hAnsi="Times New Roman" w:eastAsia="方正黑体_GBK" w:cs="方正黑体_GBK"/>
          <w:color w:val="000000" w:themeColor="text1"/>
          <w:kern w:val="0"/>
          <w:sz w:val="32"/>
          <w:szCs w:val="32"/>
          <w:lang w:eastAsia="zh-CN"/>
          <w14:textFill>
            <w14:solidFill>
              <w14:schemeClr w14:val="tx1"/>
            </w14:solidFill>
          </w14:textFill>
        </w:rPr>
        <w:t>附件</w:t>
      </w:r>
    </w:p>
    <w:p>
      <w:pPr>
        <w:autoSpaceDE w:val="0"/>
        <w:autoSpaceDN w:val="0"/>
        <w:adjustRightInd w:val="0"/>
        <w:spacing w:line="540" w:lineRule="exact"/>
        <w:rPr>
          <w:rFonts w:hint="eastAsia" w:ascii="Times New Roman" w:hAnsi="Times New Roman" w:eastAsia="方正黑体_GBK" w:cs="方正黑体_GBK"/>
          <w:color w:val="000000" w:themeColor="text1"/>
          <w:kern w:val="0"/>
          <w:sz w:val="32"/>
          <w:szCs w:val="32"/>
          <w14:textFill>
            <w14:solidFill>
              <w14:schemeClr w14:val="tx1"/>
            </w14:solidFill>
          </w14:textFill>
        </w:rPr>
      </w:pPr>
    </w:p>
    <w:p>
      <w:pPr>
        <w:autoSpaceDE w:val="0"/>
        <w:autoSpaceDN w:val="0"/>
        <w:adjustRightInd w:val="0"/>
        <w:spacing w:line="600" w:lineRule="exact"/>
        <w:ind w:firstLine="420" w:firstLineChars="200"/>
        <w:rPr>
          <w:rFonts w:ascii="Times New Roman" w:hAnsi="Times New Roman" w:eastAsia="方正仿宋_GBK" w:cs="方正仿宋_GBK"/>
          <w:color w:val="000000" w:themeColor="text1"/>
          <w:kern w:val="0"/>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r>
        <w:rPr>
          <w:rFonts w:hint="eastAsia" w:ascii="Times New Roman" w:hAnsi="Times New Roman" w:eastAsia="方正小标宋_GBK" w:cs="方正小标宋_GBK"/>
          <w:color w:val="000000" w:themeColor="text1"/>
          <w:kern w:val="0"/>
          <w:sz w:val="44"/>
          <w:szCs w:val="44"/>
          <w14:textFill>
            <w14:solidFill>
              <w14:schemeClr w14:val="tx1"/>
            </w14:solidFill>
          </w14:textFill>
        </w:rPr>
        <w:t>重庆市基本医疗保险门诊特殊疾病保障指南</w:t>
      </w: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hint="eastAsia" w:ascii="方正小标宋_GBK" w:hAnsi="方正小标宋_GBK" w:eastAsia="方正小标宋_GBK" w:cs="方正小标宋_GBK"/>
          <w:color w:val="000000" w:themeColor="text1"/>
          <w:kern w:val="0"/>
          <w:sz w:val="44"/>
          <w:szCs w:val="44"/>
          <w14:textFill>
            <w14:solidFill>
              <w14:schemeClr w14:val="tx1"/>
            </w14:solidFill>
          </w14:textFill>
        </w:rPr>
      </w:pPr>
      <w:r>
        <w:rPr>
          <w:rFonts w:hint="eastAsia" w:ascii="方正小标宋_GBK" w:hAnsi="方正小标宋_GBK" w:eastAsia="方正小标宋_GBK" w:cs="方正小标宋_GBK"/>
          <w:color w:val="000000" w:themeColor="text1"/>
          <w:kern w:val="0"/>
          <w:sz w:val="44"/>
          <w:szCs w:val="44"/>
          <w14:textFill>
            <w14:solidFill>
              <w14:schemeClr w14:val="tx1"/>
            </w14:solidFill>
          </w14:textFill>
        </w:rPr>
        <w:t>（2025年</w:t>
      </w:r>
      <w:r>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t>修订版</w:t>
      </w:r>
      <w:r>
        <w:rPr>
          <w:rFonts w:hint="eastAsia" w:ascii="方正小标宋_GBK" w:hAnsi="方正小标宋_GBK" w:eastAsia="方正小标宋_GBK" w:cs="方正小标宋_GBK"/>
          <w:color w:val="000000" w:themeColor="text1"/>
          <w:kern w:val="0"/>
          <w:sz w:val="44"/>
          <w:szCs w:val="44"/>
          <w14:textFill>
            <w14:solidFill>
              <w14:schemeClr w14:val="tx1"/>
            </w14:solidFill>
          </w14:textFill>
        </w:rPr>
        <w:t>）</w:t>
      </w: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hint="eastAsia" w:ascii="方正黑体_GBK" w:hAnsi="方正黑体_GBK" w:eastAsia="方正黑体_GBK" w:cs="方正黑体_GBK"/>
          <w:color w:val="000000" w:themeColor="text1"/>
          <w:kern w:val="0"/>
          <w:sz w:val="32"/>
          <w:szCs w:val="32"/>
          <w14:textFill>
            <w14:solidFill>
              <w14:schemeClr w14:val="tx1"/>
            </w14:solidFill>
          </w14:textFill>
        </w:rPr>
      </w:pPr>
    </w:p>
    <w:p>
      <w:pPr>
        <w:autoSpaceDE w:val="0"/>
        <w:autoSpaceDN w:val="0"/>
        <w:adjustRightInd w:val="0"/>
        <w:spacing w:line="600" w:lineRule="exact"/>
        <w:jc w:val="center"/>
        <w:rPr>
          <w:rFonts w:hint="eastAsia" w:ascii="方正黑体_GBK" w:hAnsi="方正黑体_GBK" w:eastAsia="方正黑体_GBK" w:cs="方正黑体_GBK"/>
          <w:color w:val="000000" w:themeColor="text1"/>
          <w:kern w:val="0"/>
          <w:sz w:val="32"/>
          <w:szCs w:val="32"/>
          <w14:textFill>
            <w14:solidFill>
              <w14:schemeClr w14:val="tx1"/>
            </w14:solidFill>
          </w14:textFill>
        </w:rPr>
      </w:pPr>
      <w:r>
        <w:rPr>
          <w:rFonts w:hint="eastAsia" w:ascii="方正黑体_GBK" w:hAnsi="方正黑体_GBK" w:eastAsia="方正黑体_GBK" w:cs="方正黑体_GBK"/>
          <w:color w:val="000000" w:themeColor="text1"/>
          <w:kern w:val="0"/>
          <w:sz w:val="32"/>
          <w:szCs w:val="32"/>
          <w14:textFill>
            <w14:solidFill>
              <w14:schemeClr w14:val="tx1"/>
            </w14:solidFill>
          </w14:textFill>
        </w:rPr>
        <w:t>重庆市医疗保障局</w:t>
      </w: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sectPr>
          <w:footerReference r:id="rId3" w:type="even"/>
          <w:pgSz w:w="11906" w:h="16838"/>
          <w:pgMar w:top="2098" w:right="1474" w:bottom="1985" w:left="1588" w:header="851" w:footer="992" w:gutter="0"/>
          <w:pgNumType w:fmt="numberInDash"/>
          <w:cols w:space="425" w:num="1"/>
          <w:docGrid w:type="lines" w:linePitch="312" w:charSpace="0"/>
        </w:sect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sectPr>
          <w:footerReference r:id="rId4" w:type="default"/>
          <w:pgSz w:w="11906" w:h="16838"/>
          <w:pgMar w:top="2098" w:right="1474" w:bottom="1985" w:left="1588" w:header="851" w:footer="992" w:gutter="0"/>
          <w:pgNumType w:fmt="numberInDash" w:start="1"/>
          <w:cols w:space="425" w:num="1"/>
          <w:docGrid w:type="lines" w:linePitch="312" w:charSpace="0"/>
        </w:sectPr>
      </w:pP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r>
        <w:rPr>
          <w:rFonts w:hint="eastAsia" w:ascii="Times New Roman" w:hAnsi="Times New Roman" w:eastAsia="方正小标宋_GBK" w:cs="方正小标宋_GBK"/>
          <w:color w:val="000000" w:themeColor="text1"/>
          <w:kern w:val="0"/>
          <w:sz w:val="44"/>
          <w:szCs w:val="44"/>
          <w14:textFill>
            <w14:solidFill>
              <w14:schemeClr w14:val="tx1"/>
            </w14:solidFill>
          </w14:textFill>
        </w:rPr>
        <w:t>目  录</w:t>
      </w:r>
    </w:p>
    <w:p>
      <w:pPr>
        <w:autoSpaceDE w:val="0"/>
        <w:autoSpaceDN w:val="0"/>
        <w:adjustRightInd w:val="0"/>
        <w:spacing w:line="600" w:lineRule="exact"/>
        <w:jc w:val="center"/>
        <w:rPr>
          <w:rFonts w:ascii="Times New Roman" w:hAnsi="Times New Roman" w:eastAsia="方正小标宋_GBK" w:cs="方正小标宋_GBK"/>
          <w:color w:val="000000" w:themeColor="text1"/>
          <w:kern w:val="0"/>
          <w:sz w:val="44"/>
          <w:szCs w:val="4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楷体_GBK" w:cs="方正仿宋_GBK"/>
          <w:b/>
          <w:bCs/>
          <w:color w:val="000000" w:themeColor="text1"/>
          <w:kern w:val="0"/>
          <w:sz w:val="30"/>
          <w:szCs w:val="30"/>
          <w14:textFill>
            <w14:solidFill>
              <w14:schemeClr w14:val="tx1"/>
            </w14:solidFill>
          </w14:textFill>
        </w:rPr>
      </w:pPr>
      <w:r>
        <w:rPr>
          <w:rFonts w:hint="eastAsia" w:ascii="Times New Roman" w:hAnsi="Times New Roman" w:eastAsia="方正楷体_GBK" w:cs="方正楷体_GBK"/>
          <w:b/>
          <w:bCs/>
          <w:color w:val="000000" w:themeColor="text1"/>
          <w:kern w:val="0"/>
          <w:sz w:val="30"/>
          <w:szCs w:val="30"/>
          <w14:textFill>
            <w14:solidFill>
              <w14:schemeClr w14:val="tx1"/>
            </w14:solidFill>
          </w14:textFill>
        </w:rPr>
        <w:t>一类病种</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Times New Roman" w:hAnsi="Times New Roman" w:eastAsia="方正仿宋_GBK" w:cs="方正仿宋_GBK"/>
          <w:color w:val="000000" w:themeColor="text1"/>
          <w:kern w:val="0"/>
          <w:sz w:val="30"/>
          <w:szCs w:val="30"/>
          <w:lang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1．慢性肾衰竭血液净化治疗...</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Times New Roman" w:hAnsi="Times New Roman" w:eastAsia="方正仿宋_GBK" w:cs="方正仿宋_GBK"/>
          <w:color w:val="000000" w:themeColor="text1"/>
          <w:kern w:val="0"/>
          <w:sz w:val="30"/>
          <w:szCs w:val="30"/>
          <w:lang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2．器官（包括组织、细胞）移植术后抗排异治疗...</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6</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3．恶性肿瘤...........................................................</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26</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Times New Roman" w:hAnsi="Times New Roman" w:eastAsia="方正仿宋_GBK" w:cs="方正仿宋_GBK"/>
          <w:color w:val="000000" w:themeColor="text1"/>
          <w:kern w:val="0"/>
          <w:sz w:val="30"/>
          <w:szCs w:val="30"/>
          <w:lang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4．血友病......................................................................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3</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0</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5．再生障碍性贫血.................................................</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34</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6．地中海贫血（中、重型）.................................</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37</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7．扩张型心肌病......................................................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40</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8．克山病....................................................................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42</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9．阿尔茨海默病.....................................................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44</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10．艾滋病机会性感染............................................................</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47</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11．耐药结核病.......................................................................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52</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12．高苯丙氨酸血症（苯丙酮尿症、四氢生物蝶呤缺乏症）...........................................................................................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57</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13．普拉德-威利综合征............................................</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59</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14．原发性生长激素缺乏症.....................................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60</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楷体_GBK" w:cs="方正楷体_GBK"/>
          <w:b/>
          <w:bCs/>
          <w:color w:val="000000" w:themeColor="text1"/>
          <w:kern w:val="0"/>
          <w:sz w:val="30"/>
          <w:szCs w:val="30"/>
          <w14:textFill>
            <w14:solidFill>
              <w14:schemeClr w14:val="tx1"/>
            </w14:solidFill>
          </w14:textFill>
        </w:rPr>
      </w:pPr>
      <w:r>
        <w:rPr>
          <w:rFonts w:hint="eastAsia" w:ascii="Times New Roman" w:hAnsi="Times New Roman" w:eastAsia="方正楷体_GBK" w:cs="方正楷体_GBK"/>
          <w:b/>
          <w:bCs/>
          <w:color w:val="000000" w:themeColor="text1"/>
          <w:kern w:val="0"/>
          <w:sz w:val="30"/>
          <w:szCs w:val="30"/>
          <w14:textFill>
            <w14:solidFill>
              <w14:schemeClr w14:val="tx1"/>
            </w14:solidFill>
          </w14:textFill>
        </w:rPr>
        <w:t>二类病种</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1．强直性脊柱炎....................................................................</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61</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2．原发性肾病综合征.......................................................</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64</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Times New Roman" w:hAnsi="Times New Roman" w:eastAsia="方正仿宋_GBK" w:cs="方正仿宋_GBK"/>
          <w:color w:val="000000" w:themeColor="text1"/>
          <w:kern w:val="0"/>
          <w:sz w:val="30"/>
          <w:szCs w:val="30"/>
          <w14:textFill>
            <w14:solidFill>
              <w14:schemeClr w14:val="tx1"/>
            </w14:solidFill>
          </w14:textFill>
        </w:rPr>
        <w:sectPr>
          <w:footerReference r:id="rId5" w:type="default"/>
          <w:pgSz w:w="11906" w:h="16838"/>
          <w:pgMar w:top="2098" w:right="1474" w:bottom="1985" w:left="1588" w:header="851" w:footer="992" w:gutter="0"/>
          <w:pgNumType w:fmt="numberInDash" w:start="1"/>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3．肝豆状核变性....................................................................</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67</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4．重度骨质疏松...................................................................</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69</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5．高血压................................................................................</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71</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6．糖尿病.................................................................................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76</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7．甲亢......................................................................................</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79</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8．冠心病.................................................................................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81</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9．风湿性心瓣膜病...............................................................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83</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10．肝硬化..............................................................................</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85</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11．脑卒中后遗症（脑梗死、脑出血、蛛网膜下腔出血后遗症、血管性痴呆）...........................................................</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91</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12．帕金森病........................................................................</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95</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13．肌萎缩侧索硬化症..............................................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97</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14．支气管哮喘.....................................................................</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99</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15．慢性阻塞性肺疾病..........................................................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102</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16．慢性肺源性心脏病........................................................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104</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17．结核病.............................................................................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106</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18．慢性乙型肝炎病毒感染.....................................</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110</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19．丙型肝炎............................................................</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112</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20．真性红细胞增多症.........................................................</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114</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21．原发性血小板增多症......................................................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116</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22．原发性骨髓纤维化症.......................................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118</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Times New Roman" w:hAnsi="Times New Roman" w:eastAsia="方正仿宋_GBK" w:cs="方正仿宋_GBK"/>
          <w:color w:val="000000" w:themeColor="text1"/>
          <w:kern w:val="0"/>
          <w:sz w:val="30"/>
          <w:szCs w:val="30"/>
          <w14:textFill>
            <w14:solidFill>
              <w14:schemeClr w14:val="tx1"/>
            </w14:solidFill>
          </w14:textFill>
        </w:rPr>
        <w:sectPr>
          <w:footerReference r:id="rId6" w:type="default"/>
          <w:pgSz w:w="11906" w:h="16838"/>
          <w:pgMar w:top="2098" w:right="1474" w:bottom="1985" w:left="1588"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23．系统性红斑狼疮..............................................</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120</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24．系统性硬化症.....................................................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125</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25．原发性干燥综合征.......................................</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128</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26．重症肌无力..........................................................</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132</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ascii="Times New Roman" w:hAnsi="Times New Roman" w:eastAsia="方正仿宋_GBK" w:cs="方正仿宋_GBK"/>
          <w:color w:val="000000" w:themeColor="text1"/>
          <w:kern w:val="0"/>
          <w:sz w:val="30"/>
          <w:szCs w:val="30"/>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27．慢性肾脏病..........................................................</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134</w:t>
      </w:r>
      <w:r>
        <w:rPr>
          <w:rFonts w:hint="eastAsia" w:ascii="Times New Roman" w:hAnsi="Times New Roman" w:eastAsia="方正仿宋_GBK" w:cs="方正仿宋_GBK"/>
          <w:color w:val="000000" w:themeColor="text1"/>
          <w:kern w:val="0"/>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28．类风湿性关节炎、幼年特发性关节炎..............</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137</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29．良性前列腺增生症..............................................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143</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30．原发性青光眼........................................................</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144</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31．精神分裂症............................................................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145</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32．心境障碍.............................................................</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149</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33．偏执性精神障碍..................................................</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154</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34．分裂情感性障碍.............................................................</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157</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35．癫痫所致精神障碍......................................................</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160</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36．精神发育迟滞伴发精神障碍.....................................</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162</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37．焦虑症...............................................................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166</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仿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38．强迫症............................................................................</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168</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Times New Roman" w:hAnsi="Times New Roman" w:eastAsia="方正仿宋_GBK" w:cs="方正小标宋_GBK"/>
          <w:color w:val="000000" w:themeColor="text1"/>
          <w:kern w:val="0"/>
          <w:sz w:val="30"/>
          <w:szCs w:val="30"/>
          <w:lang w:val="en-US" w:eastAsia="zh-CN"/>
          <w14:textFill>
            <w14:solidFill>
              <w14:schemeClr w14:val="tx1"/>
            </w14:solidFill>
          </w14:textFill>
        </w:rPr>
      </w:pPr>
      <w:r>
        <w:rPr>
          <w:rFonts w:hint="eastAsia" w:ascii="Times New Roman" w:hAnsi="Times New Roman" w:eastAsia="方正仿宋_GBK" w:cs="方正仿宋_GBK"/>
          <w:color w:val="000000" w:themeColor="text1"/>
          <w:kern w:val="0"/>
          <w:sz w:val="30"/>
          <w:szCs w:val="30"/>
          <w14:textFill>
            <w14:solidFill>
              <w14:schemeClr w14:val="tx1"/>
            </w14:solidFill>
          </w14:textFill>
        </w:rPr>
        <w:t>39．抑郁症..............................................................................</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w:t>
      </w:r>
      <w:r>
        <w:rPr>
          <w:rFonts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14:textFill>
            <w14:solidFill>
              <w14:schemeClr w14:val="tx1"/>
            </w14:solidFill>
          </w14:textFill>
        </w:rPr>
        <w:t>.....</w:t>
      </w:r>
      <w:r>
        <w:rPr>
          <w:rFonts w:hint="eastAsia" w:ascii="Times New Roman" w:hAnsi="Times New Roman" w:eastAsia="方正仿宋_GBK" w:cs="方正仿宋_GBK"/>
          <w:color w:val="000000" w:themeColor="text1"/>
          <w:kern w:val="0"/>
          <w:sz w:val="30"/>
          <w:szCs w:val="30"/>
          <w:lang w:val="en-US" w:eastAsia="zh-CN"/>
          <w14:textFill>
            <w14:solidFill>
              <w14:schemeClr w14:val="tx1"/>
            </w14:solidFill>
          </w14:textFill>
        </w:rPr>
        <w:t>171</w:t>
      </w:r>
    </w:p>
    <w:p>
      <w:pPr>
        <w:keepNext w:val="0"/>
        <w:keepLines w:val="0"/>
        <w:pageBreakBefore w:val="0"/>
        <w:widowControl w:val="0"/>
        <w:kinsoku/>
        <w:wordWrap/>
        <w:overflowPunct/>
        <w:topLinePunct w:val="0"/>
        <w:bidi w:val="0"/>
        <w:snapToGrid/>
        <w:spacing w:line="340" w:lineRule="exact"/>
        <w:ind w:firstLine="0" w:firstLineChars="0"/>
        <w:textAlignment w:val="auto"/>
        <w:rPr>
          <w:rFonts w:ascii="Times New Roman" w:hAnsi="Times New Roman"/>
          <w:b/>
          <w:bCs/>
          <w:color w:val="000000" w:themeColor="text1"/>
          <w:sz w:val="36"/>
          <w:szCs w:val="36"/>
          <w14:textFill>
            <w14:solidFill>
              <w14:schemeClr w14:val="tx1"/>
            </w14:solidFill>
          </w14:textFill>
        </w:rPr>
      </w:pPr>
    </w:p>
    <w:p>
      <w:pPr>
        <w:spacing w:before="156" w:beforeLines="50" w:line="340" w:lineRule="exact"/>
        <w:rPr>
          <w:rFonts w:ascii="Times New Roman" w:hAnsi="Times New Roman"/>
          <w:b/>
          <w:bCs/>
          <w:color w:val="000000" w:themeColor="text1"/>
          <w:sz w:val="36"/>
          <w:szCs w:val="36"/>
          <w14:textFill>
            <w14:solidFill>
              <w14:schemeClr w14:val="tx1"/>
            </w14:solidFill>
          </w14:textFill>
        </w:rPr>
      </w:pPr>
    </w:p>
    <w:p>
      <w:pPr>
        <w:spacing w:before="156" w:beforeLines="50" w:line="340" w:lineRule="exact"/>
        <w:ind w:firstLine="442" w:firstLineChars="100"/>
        <w:jc w:val="center"/>
        <w:rPr>
          <w:rFonts w:hint="eastAsia" w:ascii="Times New Roman" w:hAnsi="Times New Roman"/>
          <w:b/>
          <w:bCs/>
          <w:color w:val="000000" w:themeColor="text1"/>
          <w:sz w:val="44"/>
          <w:szCs w:val="44"/>
          <w14:textFill>
            <w14:solidFill>
              <w14:schemeClr w14:val="tx1"/>
            </w14:solidFill>
          </w14:textFill>
        </w:rPr>
      </w:pPr>
    </w:p>
    <w:p>
      <w:pPr>
        <w:spacing w:before="156" w:beforeLines="50" w:line="340" w:lineRule="exact"/>
        <w:ind w:firstLine="442" w:firstLineChars="100"/>
        <w:jc w:val="center"/>
        <w:rPr>
          <w:rFonts w:hint="eastAsia" w:ascii="Times New Roman" w:hAnsi="Times New Roman"/>
          <w:b/>
          <w:bCs/>
          <w:color w:val="000000" w:themeColor="text1"/>
          <w:sz w:val="44"/>
          <w:szCs w:val="44"/>
          <w14:textFill>
            <w14:solidFill>
              <w14:schemeClr w14:val="tx1"/>
            </w14:solidFill>
          </w14:textFill>
        </w:rPr>
      </w:pPr>
    </w:p>
    <w:p>
      <w:pPr>
        <w:spacing w:before="156" w:beforeLines="50" w:line="340" w:lineRule="exact"/>
        <w:ind w:firstLine="442" w:firstLineChars="100"/>
        <w:jc w:val="center"/>
        <w:rPr>
          <w:rFonts w:hint="eastAsia" w:ascii="Times New Roman" w:hAnsi="Times New Roman"/>
          <w:b/>
          <w:bCs/>
          <w:color w:val="000000" w:themeColor="text1"/>
          <w:sz w:val="44"/>
          <w:szCs w:val="44"/>
          <w14:textFill>
            <w14:solidFill>
              <w14:schemeClr w14:val="tx1"/>
            </w14:solidFill>
          </w14:textFill>
        </w:rPr>
      </w:pPr>
    </w:p>
    <w:p>
      <w:pPr>
        <w:spacing w:before="156" w:beforeLines="50" w:line="340" w:lineRule="exact"/>
        <w:ind w:firstLine="442" w:firstLineChars="100"/>
        <w:jc w:val="center"/>
        <w:rPr>
          <w:rFonts w:hint="eastAsia" w:ascii="Times New Roman" w:hAnsi="Times New Roman"/>
          <w:b/>
          <w:bCs/>
          <w:color w:val="000000" w:themeColor="text1"/>
          <w:sz w:val="44"/>
          <w:szCs w:val="44"/>
          <w14:textFill>
            <w14:solidFill>
              <w14:schemeClr w14:val="tx1"/>
            </w14:solidFill>
          </w14:textFill>
        </w:rPr>
        <w:sectPr>
          <w:footerReference r:id="rId7" w:type="default"/>
          <w:pgSz w:w="11906" w:h="16838"/>
          <w:pgMar w:top="2098" w:right="1474" w:bottom="1985" w:left="1588"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156" w:beforeLines="50" w:line="340" w:lineRule="exact"/>
        <w:ind w:firstLine="0" w:firstLineChars="0"/>
        <w:jc w:val="center"/>
        <w:textAlignment w:val="auto"/>
        <w:rPr>
          <w:rFonts w:hint="eastAsia" w:ascii="Times New Roman" w:hAnsi="Times New Roman" w:eastAsia="方正小标宋_GBK" w:cs="方正小标宋_GBK"/>
          <w:b w:val="0"/>
          <w:bCs w:val="0"/>
          <w:color w:val="000000" w:themeColor="text1"/>
          <w:sz w:val="44"/>
          <w:szCs w:val="44"/>
          <w14:textFill>
            <w14:solidFill>
              <w14:schemeClr w14:val="tx1"/>
            </w14:solidFill>
          </w14:textFill>
        </w:rPr>
      </w:pPr>
      <w:r>
        <w:rPr>
          <w:rFonts w:hint="eastAsia" w:ascii="Times New Roman" w:hAnsi="Times New Roman" w:eastAsia="方正小标宋_GBK" w:cs="方正小标宋_GBK"/>
          <w:b w:val="0"/>
          <w:bCs w:val="0"/>
          <w:color w:val="000000" w:themeColor="text1"/>
          <w:sz w:val="44"/>
          <w:szCs w:val="44"/>
          <w14:textFill>
            <w14:solidFill>
              <w14:schemeClr w14:val="tx1"/>
            </w14:solidFill>
          </w14:textFill>
        </w:rPr>
        <w:t>一类病种</w:t>
      </w:r>
    </w:p>
    <w:p>
      <w:pPr>
        <w:spacing w:before="156" w:beforeLines="50" w:line="340" w:lineRule="exact"/>
        <w:rPr>
          <w:rFonts w:ascii="Times New Roman" w:hAnsi="Times New Roman"/>
          <w:b/>
          <w:bCs/>
          <w:color w:val="000000" w:themeColor="text1"/>
          <w:sz w:val="36"/>
          <w:szCs w:val="36"/>
          <w14:textFill>
            <w14:solidFill>
              <w14:schemeClr w14:val="tx1"/>
            </w14:solidFill>
          </w14:textFill>
        </w:rPr>
      </w:pP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.慢性肾衰竭血液净化治疗</w:t>
      </w:r>
    </w:p>
    <w:tbl>
      <w:tblPr>
        <w:tblStyle w:val="4"/>
        <w:tblW w:w="4923" w:type="pct"/>
        <w:tblInd w:w="0" w:type="dxa"/>
        <w:tblLayout w:type="fixed"/>
        <w:tblCellMar>
          <w:top w:w="0" w:type="dxa"/>
          <w:left w:w="108" w:type="dxa"/>
          <w:bottom w:w="0" w:type="dxa"/>
          <w:right w:w="108" w:type="dxa"/>
        </w:tblCellMar>
      </w:tblPr>
      <w:tblGrid>
        <w:gridCol w:w="686"/>
        <w:gridCol w:w="377"/>
        <w:gridCol w:w="1273"/>
        <w:gridCol w:w="2850"/>
        <w:gridCol w:w="3735"/>
      </w:tblGrid>
      <w:tr>
        <w:tblPrEx>
          <w:tblCellMar>
            <w:top w:w="0" w:type="dxa"/>
            <w:left w:w="108" w:type="dxa"/>
            <w:bottom w:w="0" w:type="dxa"/>
            <w:right w:w="108" w:type="dxa"/>
          </w:tblCellMar>
        </w:tblPrEx>
        <w:trPr>
          <w:trHeight w:val="306" w:hRule="atLeast"/>
        </w:trPr>
        <w:tc>
          <w:tcPr>
            <w:tcW w:w="3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182"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慢性肾衰竭血液净化治疗</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N18.506+I32.8X</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尿毒症性心包炎</w:t>
            </w:r>
          </w:p>
        </w:tc>
      </w:tr>
      <w:tr>
        <w:tblPrEx>
          <w:tblCellMar>
            <w:top w:w="0" w:type="dxa"/>
            <w:left w:w="108" w:type="dxa"/>
            <w:bottom w:w="0" w:type="dxa"/>
            <w:right w:w="108" w:type="dxa"/>
          </w:tblCellMar>
        </w:tblPrEx>
        <w:trPr>
          <w:trHeight w:val="2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肾终末期疾病</w:t>
            </w:r>
          </w:p>
        </w:tc>
      </w:tr>
      <w:tr>
        <w:tblPrEx>
          <w:tblCellMar>
            <w:top w:w="0" w:type="dxa"/>
            <w:left w:w="108" w:type="dxa"/>
            <w:bottom w:w="0" w:type="dxa"/>
            <w:right w:w="108" w:type="dxa"/>
          </w:tblCellMar>
        </w:tblPrEx>
        <w:trPr>
          <w:trHeight w:val="317"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N18.505+I68.8X</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尿毒症性脑血管病</w:t>
            </w:r>
          </w:p>
        </w:tc>
      </w:tr>
      <w:tr>
        <w:tblPrEx>
          <w:tblCellMar>
            <w:top w:w="0" w:type="dxa"/>
            <w:left w:w="108" w:type="dxa"/>
            <w:bottom w:w="0" w:type="dxa"/>
            <w:right w:w="108" w:type="dxa"/>
          </w:tblCellMar>
        </w:tblPrEx>
        <w:trPr>
          <w:trHeight w:val="155"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N18.503+G63.8X</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尿毒症性神经病变</w:t>
            </w:r>
          </w:p>
        </w:tc>
      </w:tr>
      <w:tr>
        <w:tblPrEx>
          <w:tblCellMar>
            <w:top w:w="0" w:type="dxa"/>
            <w:left w:w="108" w:type="dxa"/>
            <w:bottom w:w="0" w:type="dxa"/>
            <w:right w:w="108" w:type="dxa"/>
          </w:tblCellMar>
        </w:tblPrEx>
        <w:trPr>
          <w:trHeight w:val="91"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N18.902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慢性肾衰竭</w:t>
            </w:r>
          </w:p>
        </w:tc>
      </w:tr>
      <w:tr>
        <w:tblPrEx>
          <w:tblCellMar>
            <w:top w:w="0" w:type="dxa"/>
            <w:left w:w="108" w:type="dxa"/>
            <w:bottom w:w="0" w:type="dxa"/>
            <w:right w:w="108" w:type="dxa"/>
          </w:tblCellMar>
        </w:tblPrEx>
        <w:trPr>
          <w:trHeight w:val="91"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N19.X01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尿毒症</w:t>
            </w:r>
          </w:p>
        </w:tc>
      </w:tr>
      <w:tr>
        <w:tblPrEx>
          <w:tblCellMar>
            <w:top w:w="0" w:type="dxa"/>
            <w:left w:w="108" w:type="dxa"/>
            <w:bottom w:w="0" w:type="dxa"/>
            <w:right w:w="108" w:type="dxa"/>
          </w:tblCellMar>
        </w:tblPrEx>
        <w:trPr>
          <w:trHeight w:val="57"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P96.000X002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新生儿尿毒症</w:t>
            </w:r>
          </w:p>
        </w:tc>
      </w:tr>
      <w:tr>
        <w:tblPrEx>
          <w:tblCellMar>
            <w:top w:w="0" w:type="dxa"/>
            <w:left w:w="108" w:type="dxa"/>
            <w:bottom w:w="0" w:type="dxa"/>
            <w:right w:w="108" w:type="dxa"/>
          </w:tblCellMar>
        </w:tblPrEx>
        <w:trPr>
          <w:trHeight w:val="57"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R39.200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肾外性尿毒症</w:t>
            </w:r>
          </w:p>
        </w:tc>
      </w:tr>
      <w:tr>
        <w:tblPrEx>
          <w:tblCellMar>
            <w:top w:w="0" w:type="dxa"/>
            <w:left w:w="108" w:type="dxa"/>
            <w:bottom w:w="0" w:type="dxa"/>
            <w:right w:w="108" w:type="dxa"/>
          </w:tblCellMar>
        </w:tblPrEx>
        <w:trPr>
          <w:trHeight w:val="57"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R39.200X001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肾前性尿毒症</w:t>
            </w:r>
          </w:p>
        </w:tc>
      </w:tr>
      <w:tr>
        <w:tblPrEx>
          <w:tblCellMar>
            <w:top w:w="0" w:type="dxa"/>
            <w:left w:w="108" w:type="dxa"/>
            <w:bottom w:w="0" w:type="dxa"/>
            <w:right w:w="108" w:type="dxa"/>
          </w:tblCellMar>
        </w:tblPrEx>
        <w:trPr>
          <w:trHeight w:val="57"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慢性肾脏病5期</w:t>
            </w:r>
          </w:p>
        </w:tc>
      </w:tr>
      <w:tr>
        <w:tblPrEx>
          <w:tblCellMar>
            <w:top w:w="0" w:type="dxa"/>
            <w:left w:w="108" w:type="dxa"/>
            <w:bottom w:w="0" w:type="dxa"/>
            <w:right w:w="108" w:type="dxa"/>
          </w:tblCellMar>
        </w:tblPrEx>
        <w:trPr>
          <w:trHeight w:val="57"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N18.500x001+D63.8*</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慢性肾脏病5期相关性贫血</w:t>
            </w:r>
          </w:p>
        </w:tc>
      </w:tr>
      <w:tr>
        <w:tblPrEx>
          <w:tblCellMar>
            <w:top w:w="0" w:type="dxa"/>
            <w:left w:w="108" w:type="dxa"/>
            <w:bottom w:w="0" w:type="dxa"/>
            <w:right w:w="108" w:type="dxa"/>
          </w:tblCellMar>
        </w:tblPrEx>
        <w:trPr>
          <w:trHeight w:val="197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46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 w:val="24"/>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一、满足以下任意一条并已进行一次血液透析治疗</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（一）患者肾小球滤过率＜15ml/（min·1.73㎡），且出现下列临床表现之一者：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1、不能缓解的乏力、恶心、呕吐、瘙痒等尿毒症症状或营养不良；</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2、难以纠正的高钾血症；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3、难以控制的进展性代谢性酸中毒；</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4、难以控制的水钠潴留和高血压，合并充血性心力衰竭或急性肺水肿；</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5、尿毒症性心包炎；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6、尿毒症性脑病和进展性神经病变。</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（二）糖尿病肾病或者慢性心力衰竭合并慢性肾脏病3-5期患者，出现严重容量负荷过重、严重心力衰竭，结合患者临床表现决定。</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二、满足以上任意一条并已进行一次腹膜透析治疗。</w:t>
            </w:r>
          </w:p>
        </w:tc>
      </w:tr>
      <w:tr>
        <w:tblPrEx>
          <w:tblCellMar>
            <w:top w:w="0" w:type="dxa"/>
            <w:left w:w="108" w:type="dxa"/>
            <w:bottom w:w="0" w:type="dxa"/>
            <w:right w:w="108" w:type="dxa"/>
          </w:tblCellMar>
        </w:tblPrEx>
        <w:trPr>
          <w:trHeight w:val="90" w:hRule="atLeast"/>
        </w:trPr>
        <w:tc>
          <w:tcPr>
            <w:tcW w:w="3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抗凝药</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XB01AB</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肝素类</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XB01AX</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其他抗血栓形成药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鱼精蛋白</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XV03AB</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解毒药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降压药</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钙通道阻滞剂</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XC02C</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外周作用的抗肾上腺素能药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XG04C</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良性前列腺肥大用药（特拉唑嗪口服常释剂型）</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纠正贫血类药物</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抗贫血药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降磷药物、继发性甲状旁腺功能亢进治疗药物：拟钙剂，活性维生素D及类似物、治疗高钾的药物</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XV03AE</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高血钾和高磷血症治疗药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XG04B</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泌尿系统药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钙稳态药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营养治疗：酮酸类制剂</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其他营养剂</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左旋肉碱补充剂</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XG04B</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泌尿系统药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低血压对症治疗药物</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XN04BA</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多巴和其衍生物</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尿毒症瘙痒</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XD02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润肤剂和保护剂类</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全身用抗组胺药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XV03AX</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其他治疗药物</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血管通路的溶栓和抗凝药物</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XB01AD</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酶类</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腹膜透析液</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XB05D</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腹膜透析液</w:t>
            </w:r>
          </w:p>
        </w:tc>
      </w:tr>
      <w:tr>
        <w:tblPrEx>
          <w:tblCellMar>
            <w:top w:w="0" w:type="dxa"/>
            <w:left w:w="108" w:type="dxa"/>
            <w:bottom w:w="0" w:type="dxa"/>
            <w:right w:w="108" w:type="dxa"/>
          </w:tblCellMar>
        </w:tblPrEx>
        <w:trPr>
          <w:trHeight w:val="121" w:hRule="atLeast"/>
        </w:trPr>
        <w:tc>
          <w:tcPr>
            <w:tcW w:w="3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血液透析</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311000006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血液透析</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311000012.1</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血透监测（血温）</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311000012.2</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血透监测（血压）</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311000012.3</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血透监测（血容量）</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311000012.4</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血透监测（在线尿素监测）</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血液灌流（医保基金支付不超过1次/月）</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血液灌流</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血液滤过</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311000007</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血液滤过</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311000012.1</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血透监测（血温）</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311000012.2</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血透监测（血压）</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311000012.3</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血透监测（血容量）</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311000012.4</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血透监测（在线尿素监测）</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血液透析滤过</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311000008</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血液透析滤过</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311000012.1</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血透监测（血温）</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311000012.2</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血透监测（血压）</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311000012.3</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血透监测（血容量）</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311000012.4</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血透监测（在线尿素监测）</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换药</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ABF/1206</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换药</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腹膜透析拔管术</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311000001.01</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腹膜透析置管术(拔管术收取)</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腹膜透析换管</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311000004</w:t>
            </w:r>
          </w:p>
        </w:tc>
        <w:tc>
          <w:tcPr>
            <w:tcW w:w="2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腹膜透析换管</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腹膜透析导管</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腹膜透析导管</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腹膜透析外接短管</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腹膜透析外接短管</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腹膜平衡试验</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311000005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腹膜平衡试验</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结肠透析</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311000013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结肠透析</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传染四项</w:t>
            </w:r>
          </w:p>
        </w:tc>
        <w:tc>
          <w:tcPr>
            <w:tcW w:w="7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乙肝病毒标志物</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250403008</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乙型肝炎核心抗原测定(HBcAg)</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丙肝</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丙型肝炎RNA测定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250403014</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丙型肝炎抗体测定(Anti-HCV)</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250403019b</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HIV-P24抗原测定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梅毒螺旋体特异抗体测定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铁生化（医保基金支付不超过4次/年）</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250301008</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250301007</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血清转铁蛋白测定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250304008</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血清总铁结合力测定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250304007</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铁测定</w:t>
            </w:r>
          </w:p>
        </w:tc>
      </w:tr>
      <w:tr>
        <w:tblPrEx>
          <w:tblCellMar>
            <w:top w:w="0" w:type="dxa"/>
            <w:left w:w="108" w:type="dxa"/>
            <w:bottom w:w="0" w:type="dxa"/>
            <w:right w:w="108" w:type="dxa"/>
          </w:tblCellMar>
        </w:tblPrEx>
        <w:trPr>
          <w:trHeight w:val="121"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C反应蛋白（医保基金支付不超过2次/年）</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C—反应蛋白测定(CRP)</w:t>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 </w:t>
            </w:r>
          </w:p>
        </w:tc>
      </w:tr>
      <w:tr>
        <w:tblPrEx>
          <w:tblCellMar>
            <w:top w:w="0" w:type="dxa"/>
            <w:left w:w="108" w:type="dxa"/>
            <w:bottom w:w="0" w:type="dxa"/>
            <w:right w:w="108" w:type="dxa"/>
          </w:tblCellMar>
        </w:tblPrEx>
        <w:trPr>
          <w:trHeight w:val="121"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β2微球蛋白（医保基金支付不超过2次/年）</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250307009</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随机尿尿素测定</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尿肌酐测定</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尿肌酐测定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腹膜透析出液尿素测定</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658"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腹膜透析出液肌酐测定</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尿肌酐测定</w:t>
            </w:r>
          </w:p>
        </w:tc>
      </w:tr>
      <w:tr>
        <w:tblPrEx>
          <w:tblCellMar>
            <w:top w:w="0" w:type="dxa"/>
            <w:left w:w="108" w:type="dxa"/>
            <w:bottom w:w="0" w:type="dxa"/>
            <w:right w:w="108" w:type="dxa"/>
          </w:tblCellMar>
        </w:tblPrEx>
        <w:trPr>
          <w:trHeight w:val="121"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甲状旁腺激素（医保基金支付不超过4次/年）</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250310009</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甲状旁腺激素测定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葡萄糖（医保基金支付不超过4次/年，限腹透）</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310205008</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 电脑血糖监测 </w:t>
            </w:r>
          </w:p>
        </w:tc>
      </w:tr>
      <w:tr>
        <w:tblPrEx>
          <w:tblCellMar>
            <w:top w:w="0" w:type="dxa"/>
            <w:left w:w="108" w:type="dxa"/>
            <w:bottom w:w="0" w:type="dxa"/>
            <w:right w:w="108" w:type="dxa"/>
          </w:tblCellMar>
        </w:tblPrEx>
        <w:trPr>
          <w:trHeight w:val="121"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骨密度检查（医保基金支付不超过1次/年）</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动静脉内瘘血管超声随访</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四肢血管彩色多普勒超声</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心脏超声（限心力衰竭）</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220600004.01</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心脏彩色多普勒超声(同时做左心功能测定加收)</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甲状旁腺超声</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220301002.04</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浅表器官彩色多普勒超声检查（甲状腺及颈部淋巴结）</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胸腹部（CR、DR）</w:t>
            </w: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9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2</w:t>
      </w:r>
      <w:r>
        <w:rPr>
          <w:rFonts w:ascii="Times New Roman" w:hAnsi="Times New Roman" w:eastAsia="黑体"/>
          <w:color w:val="000000" w:themeColor="text1"/>
          <w:sz w:val="30"/>
          <w:szCs w:val="30"/>
          <w14:textFill>
            <w14:solidFill>
              <w14:schemeClr w14:val="tx1"/>
            </w14:solidFill>
          </w14:textFill>
        </w:rPr>
        <w:t>.器官（包括组织、细胞）移植术后抗排异治疗</w:t>
      </w:r>
    </w:p>
    <w:tbl>
      <w:tblPr>
        <w:tblStyle w:val="4"/>
        <w:tblW w:w="8751" w:type="dxa"/>
        <w:tblInd w:w="93" w:type="dxa"/>
        <w:tblLayout w:type="fixed"/>
        <w:tblCellMar>
          <w:top w:w="0" w:type="dxa"/>
          <w:left w:w="108" w:type="dxa"/>
          <w:bottom w:w="0" w:type="dxa"/>
          <w:right w:w="108" w:type="dxa"/>
        </w:tblCellMar>
      </w:tblPr>
      <w:tblGrid>
        <w:gridCol w:w="741"/>
        <w:gridCol w:w="2522"/>
        <w:gridCol w:w="2235"/>
        <w:gridCol w:w="3253"/>
      </w:tblGrid>
      <w:tr>
        <w:tblPrEx>
          <w:tblCellMar>
            <w:top w:w="0" w:type="dxa"/>
            <w:left w:w="108" w:type="dxa"/>
            <w:bottom w:w="0" w:type="dxa"/>
            <w:right w:w="108" w:type="dxa"/>
          </w:tblCellMar>
        </w:tblPrEx>
        <w:trPr>
          <w:trHeight w:val="579"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肾移植术后抗排异治疗</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Z94.002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异体肾移植状态</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Z94.000</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肾移植状态</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T86.100x002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肾移植排斥</w:t>
            </w:r>
          </w:p>
        </w:tc>
      </w:tr>
      <w:tr>
        <w:tblPrEx>
          <w:tblCellMar>
            <w:top w:w="0" w:type="dxa"/>
            <w:left w:w="108" w:type="dxa"/>
            <w:bottom w:w="0" w:type="dxa"/>
            <w:right w:w="108" w:type="dxa"/>
          </w:tblCellMar>
        </w:tblPrEx>
        <w:trPr>
          <w:trHeight w:val="91"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完成肾移植术后且仍存留体内需要抗排异治疗，预防发生严重的排异反应。</w:t>
            </w:r>
          </w:p>
        </w:tc>
      </w:tr>
      <w:tr>
        <w:tblPrEx>
          <w:tblCellMar>
            <w:top w:w="0" w:type="dxa"/>
            <w:left w:w="108" w:type="dxa"/>
            <w:bottom w:w="0" w:type="dxa"/>
            <w:right w:w="108" w:type="dxa"/>
          </w:tblCellMar>
        </w:tblPrEx>
        <w:trPr>
          <w:trHeight w:val="91"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5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医保目录药品名称</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免疫抑制药物</w:t>
            </w:r>
          </w:p>
        </w:tc>
        <w:tc>
          <w:tcPr>
            <w:tcW w:w="5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环孢素、他克莫司、吗替麦考酚酯、麦考酚钠、西罗莫司、来氟米特、咪唑立宾、硫唑嘌呤等</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代码</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细胞毒性药物</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XL01AA</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氮芥类似物</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激素类药物</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移植后降压、降脂</w:t>
            </w:r>
          </w:p>
        </w:tc>
        <w:tc>
          <w:tcPr>
            <w:tcW w:w="5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参照高血压特病医疗保障指南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移植后降糖</w:t>
            </w:r>
          </w:p>
        </w:tc>
        <w:tc>
          <w:tcPr>
            <w:tcW w:w="5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参照糖尿病特病医疗保障指南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移植后高尿酸血症</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XM04</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抗痛风药</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XA02A</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抗酸药</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移植后白细胞减少、血小板减少、肾性贫血治疗</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XB03X</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其他抗贫血制剂</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XL03AA</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集落刺激因子</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直接作用的抗病毒药</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移植后骨质疏松</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辅助治疗</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项目编码</w:t>
            </w:r>
          </w:p>
        </w:tc>
        <w:tc>
          <w:tcPr>
            <w:tcW w:w="3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尿液一般检查</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尿常规检查</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BK/JC/EB/CMV核酸检测</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血药浓度测定</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甲状旁腺测定</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250310009</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甲状旁腺激素测定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T淋巴细胞亚群相关检测</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A250401036</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淋巴细胞CD4/CD8绝对数检测</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移植肾彩超检查</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220302007</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双肾及肾血管彩色多普勒超声</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tbl>
      <w:tblPr>
        <w:tblStyle w:val="4"/>
        <w:tblW w:w="8691" w:type="dxa"/>
        <w:tblInd w:w="93" w:type="dxa"/>
        <w:tblLayout w:type="fixed"/>
        <w:tblCellMar>
          <w:top w:w="0" w:type="dxa"/>
          <w:left w:w="108" w:type="dxa"/>
          <w:bottom w:w="0" w:type="dxa"/>
          <w:right w:w="108" w:type="dxa"/>
        </w:tblCellMar>
      </w:tblPr>
      <w:tblGrid>
        <w:gridCol w:w="711"/>
        <w:gridCol w:w="2206"/>
        <w:gridCol w:w="1891"/>
        <w:gridCol w:w="3883"/>
      </w:tblGrid>
      <w:tr>
        <w:tblPrEx>
          <w:tblCellMar>
            <w:top w:w="0" w:type="dxa"/>
            <w:left w:w="108" w:type="dxa"/>
            <w:bottom w:w="0" w:type="dxa"/>
            <w:right w:w="108" w:type="dxa"/>
          </w:tblCellMar>
        </w:tblPrEx>
        <w:trPr>
          <w:trHeight w:val="91"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心脏移植术后抗排异治疗</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Z94.100</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心脏移植状态</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T86.200x002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心脏移植排斥</w:t>
            </w:r>
          </w:p>
        </w:tc>
      </w:tr>
      <w:tr>
        <w:tblPrEx>
          <w:tblCellMar>
            <w:top w:w="0" w:type="dxa"/>
            <w:left w:w="108" w:type="dxa"/>
            <w:bottom w:w="0" w:type="dxa"/>
            <w:right w:w="108" w:type="dxa"/>
          </w:tblCellMar>
        </w:tblPrEx>
        <w:trPr>
          <w:trHeight w:val="9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完成心脏移植术后且仍存留体内需要抗排异治疗，预防发生严重的排异反应。</w:t>
            </w:r>
          </w:p>
        </w:tc>
      </w:tr>
      <w:tr>
        <w:tblPrEx>
          <w:tblCellMar>
            <w:top w:w="0" w:type="dxa"/>
            <w:left w:w="108" w:type="dxa"/>
            <w:bottom w:w="0" w:type="dxa"/>
            <w:right w:w="108" w:type="dxa"/>
          </w:tblCellMar>
        </w:tblPrEx>
        <w:trPr>
          <w:trHeight w:val="91"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5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抗排异药物</w:t>
            </w:r>
          </w:p>
        </w:tc>
        <w:tc>
          <w:tcPr>
            <w:tcW w:w="5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环孢素、他克莫司、西罗莫司、吗替麦考酚酯等</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分类代码</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抗心率失常药物</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XC01A</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强心苷</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XC01B</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Ⅰ类和Ⅲ类的抗心律失常药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利尿药物</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移植后降脂</w:t>
            </w:r>
          </w:p>
        </w:tc>
        <w:tc>
          <w:tcPr>
            <w:tcW w:w="5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参照高血压特病医疗保障指南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抗心衰</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XC09D</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血管紧张素Ⅱ拮抗剂的复方制剂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XC09A</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血管紧张素转换酶抑制剂的单方药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XC09B</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血管紧张素转换酶抑制剂的复方制剂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抗菌药物</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全身用抗菌药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抗真菌药物</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全身用抗真菌药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直接作用的抗病毒药</w:t>
            </w:r>
          </w:p>
        </w:tc>
      </w:tr>
      <w:tr>
        <w:tblPrEx>
          <w:tblCellMar>
            <w:top w:w="0" w:type="dxa"/>
            <w:left w:w="108" w:type="dxa"/>
            <w:bottom w:w="0" w:type="dxa"/>
            <w:right w:w="108" w:type="dxa"/>
          </w:tblCellMar>
        </w:tblPrEx>
        <w:trPr>
          <w:trHeight w:val="91"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服务项目编码</w:t>
            </w:r>
          </w:p>
        </w:tc>
        <w:tc>
          <w:tcPr>
            <w:tcW w:w="3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尿液一般检查</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尿常规检查</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250301015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α1抗胰蛋白酶测定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250404019</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酸性糖蛋白测定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250305023</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腺苷脱氨酶测定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250305016</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血清5′核苷酸酶测定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250305017</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血清α-L-岩藻糖苷酶测定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降钙素原检测</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250310054</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降钙素原检测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BK/JC/EB/CMV核酸检测</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血药浓度测定</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真菌G试验</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250501040</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真菌D-葡聚糖检测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BNP、NT-pro BNP</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250306013</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B型钠尿肽前体(PRO-BNP)测定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常规、动态心电图</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心脏彩超</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冠状动脉CT血管造影、钙化积分</w:t>
            </w: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EBCKU002</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冠状动脉CT三维成像</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EBCKU001</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冠状动脉钙化积分</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tbl>
      <w:tblPr>
        <w:tblStyle w:val="4"/>
        <w:tblW w:w="8691" w:type="dxa"/>
        <w:tblInd w:w="93" w:type="dxa"/>
        <w:tblLayout w:type="fixed"/>
        <w:tblCellMar>
          <w:top w:w="0" w:type="dxa"/>
          <w:left w:w="108" w:type="dxa"/>
          <w:bottom w:w="0" w:type="dxa"/>
          <w:right w:w="108" w:type="dxa"/>
        </w:tblCellMar>
      </w:tblPr>
      <w:tblGrid>
        <w:gridCol w:w="756"/>
        <w:gridCol w:w="2296"/>
        <w:gridCol w:w="1875"/>
        <w:gridCol w:w="3764"/>
      </w:tblGrid>
      <w:tr>
        <w:tblPrEx>
          <w:tblCellMar>
            <w:top w:w="0" w:type="dxa"/>
            <w:left w:w="108" w:type="dxa"/>
            <w:bottom w:w="0" w:type="dxa"/>
            <w:right w:w="108" w:type="dxa"/>
          </w:tblCellMar>
        </w:tblPrEx>
        <w:trPr>
          <w:trHeight w:val="9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造血干细胞、骨髓、</w:t>
            </w:r>
          </w:p>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脐带血移植术后抗排异治疗</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Z94.800x012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造血干细胞移植状态</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Z94.802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骨髓移植状态</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T86.000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骨髓移植排斥</w:t>
            </w:r>
          </w:p>
        </w:tc>
      </w:tr>
      <w:tr>
        <w:tblPrEx>
          <w:tblCellMar>
            <w:top w:w="0" w:type="dxa"/>
            <w:left w:w="108" w:type="dxa"/>
            <w:bottom w:w="0" w:type="dxa"/>
            <w:right w:w="108" w:type="dxa"/>
          </w:tblCellMar>
        </w:tblPrEx>
        <w:trPr>
          <w:trHeight w:val="91"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完成造血干细胞、骨髓或脐带血移植术后且仍存留体内需要抗排异治疗，预防发生严重的排异反应。</w:t>
            </w:r>
          </w:p>
        </w:tc>
      </w:tr>
      <w:tr>
        <w:tblPrEx>
          <w:tblCellMar>
            <w:top w:w="0" w:type="dxa"/>
            <w:left w:w="108" w:type="dxa"/>
            <w:bottom w:w="0" w:type="dxa"/>
            <w:right w:w="108" w:type="dxa"/>
          </w:tblCellMar>
        </w:tblPrEx>
        <w:trPr>
          <w:trHeight w:val="9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5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医保目录药品名称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免疫抑制及免疫调节药物</w:t>
            </w:r>
          </w:p>
        </w:tc>
        <w:tc>
          <w:tcPr>
            <w:tcW w:w="5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吗替麦考酚酯、西罗莫司、盐酸芬戈莫德胶囊、硫唑嘌呤、环磷酰胺、环孢素、他克莫司、芦可替尼、伊布替尼胶囊、伊马替尼、贝舒地尔、抗代谢药、干扰素类、白介素类、全身用皮质激素类等</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分类代码</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抗菌药物</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全身用抗菌药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抗真菌药物</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全身用抗真菌药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直接作用的抗病毒药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药物不良反应的对症支持治疗</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XA02A</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抗酸药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XA02BC</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质子泵抑制剂</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XA02BX</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其他治疗消化性溃疡病和胃食道反流病的药物</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XL03AA</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集落刺激因子</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XM04</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抗痛风药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XV03AC</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铁螯合剂</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降压、降脂</w:t>
            </w:r>
          </w:p>
        </w:tc>
        <w:tc>
          <w:tcPr>
            <w:tcW w:w="5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参照高血压特病医疗保障指南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降糖</w:t>
            </w:r>
          </w:p>
        </w:tc>
        <w:tc>
          <w:tcPr>
            <w:tcW w:w="5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参照糖尿病特病医疗保障指南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肺（GVHD）时的治疗</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XR03DC</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白三烯受体拮抗剂</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XJ01FA</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大环内酯类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XL04AX</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其他免疫抑制剂</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XR01AD</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皮质激素类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用于阻塞性气道疾病的药物</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肝脏（GVHD）时的治疗</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眼（GVHD）时的治疗</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XS01K</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手术辅助用药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XS01X</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其他眼科用药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皮肤（GVHD）时的治疗</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XD07</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皮科用皮质激素类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XD11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其他皮科制剂</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XR06</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全身用抗组胺药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移植后免疫性溶血/免疫性血小板减少</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尿液一般检查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250305023</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腺苷脱氨酶测定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250202003</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血清结合珠蛋白测定(HP)</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BK/JC/EB/CMV核酸检测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T淋巴细胞亚群相关检测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A250401036</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淋巴细胞CD4/CD8绝对数检测</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血药浓度测定</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网织红细胞计数(Ret)</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乙肝DNA检测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250403003</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乙型肝炎DNA测定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250403025.10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EB病毒抗体测定(IgG)</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250403025.20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EB病毒抗体测定(IgM)</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肺炎支原体培养+鉴定</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250501034</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支原体培养及药敏</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乙肝定量检测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250403008</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乙型肝炎核心抗原测定(HBcAg)</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乙型肝炎核心IgM抗体测定(Anti-HBcIgM)</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铁蛋白测定</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250301008</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甲流检测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CGLB1000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甲型流感病毒抗原检测</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胸部CT平扫或增强</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仿宋" w:cs="仿宋"/>
                <w:color w:val="000000" w:themeColor="text1"/>
                <w:szCs w:val="21"/>
                <w14:textFill>
                  <w14:solidFill>
                    <w14:schemeClr w14:val="tx1"/>
                  </w14:solidFill>
                </w14:textFill>
              </w:rPr>
            </w:pPr>
            <w:r>
              <w:rPr>
                <w:rFonts w:hint="eastAsia" w:ascii="Times New Roman" w:hAnsi="Times New Roman" w:eastAsia="仿宋" w:cs="仿宋"/>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腹部超声</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肺功能检测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310601005</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残气容积测定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肺弥散功能检查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肺通气功能检查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310601008</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流速容量曲线(V—V曲线)</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310601006</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强迫振荡肺功能检查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310601010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支气管激发试验</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310601012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支气管舒张试验</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骨髓穿刺及细胞形态检查</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250201001.10</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骨髓涂片细胞学检验(外周血涂片疑难细胞学检验)</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250101007</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异常红细胞形态检查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骨髓有核细胞计数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250201003</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骨髓巨核细胞计数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250201007</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骨髓特殊染色及酶组织化学染色检查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异常白细胞形态检查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骨髓活检病理检查</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270300004</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骨髓组织活检检查与诊断</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310800002</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病理体视学检查与图象分析</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tbl>
      <w:tblPr>
        <w:tblStyle w:val="4"/>
        <w:tblW w:w="8858" w:type="dxa"/>
        <w:tblInd w:w="93" w:type="dxa"/>
        <w:tblLayout w:type="fixed"/>
        <w:tblCellMar>
          <w:top w:w="0" w:type="dxa"/>
          <w:left w:w="108" w:type="dxa"/>
          <w:bottom w:w="0" w:type="dxa"/>
          <w:right w:w="108" w:type="dxa"/>
        </w:tblCellMar>
      </w:tblPr>
      <w:tblGrid>
        <w:gridCol w:w="816"/>
        <w:gridCol w:w="2387"/>
        <w:gridCol w:w="2115"/>
        <w:gridCol w:w="3540"/>
      </w:tblGrid>
      <w:tr>
        <w:tblPrEx>
          <w:tblCellMar>
            <w:top w:w="0" w:type="dxa"/>
            <w:left w:w="108" w:type="dxa"/>
            <w:bottom w:w="0" w:type="dxa"/>
            <w:right w:w="108" w:type="dxa"/>
          </w:tblCellMar>
        </w:tblPrEx>
        <w:trPr>
          <w:trHeight w:val="572"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小肠移植术后抗排异治疗</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Z94.801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肠移植状态</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T86.800x808</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肠移植排斥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T86.804</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移植胰排斥反应</w:t>
            </w:r>
          </w:p>
        </w:tc>
      </w:tr>
      <w:tr>
        <w:tblPrEx>
          <w:tblCellMar>
            <w:top w:w="0" w:type="dxa"/>
            <w:left w:w="108" w:type="dxa"/>
            <w:bottom w:w="0" w:type="dxa"/>
            <w:right w:w="108" w:type="dxa"/>
          </w:tblCellMar>
        </w:tblPrEx>
        <w:trPr>
          <w:trHeight w:val="91"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完成小肠移植术后且仍存留体内需要抗排异治疗，预防发生严重的排异反应。</w:t>
            </w:r>
          </w:p>
        </w:tc>
      </w:tr>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56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免疫抑制药物</w:t>
            </w:r>
          </w:p>
        </w:tc>
        <w:tc>
          <w:tcPr>
            <w:tcW w:w="56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环孢素、他克莫司、西罗莫司、吗替麦考酚酯、甲泼尼龙、泼尼松等</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代码</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移植后导致白细胞减少</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XL03AA</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集落刺激因子</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移植后肝损伤</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抗血栓形成药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促进肠道功能药物</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XA03A</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治疗功能性肠道疾病的药物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XA07F</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止泻微生物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抗菌药物</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w:t>
            </w:r>
          </w:p>
        </w:tc>
        <w:tc>
          <w:tcPr>
            <w:tcW w:w="3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全身用抗菌药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抗真菌药物</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全身用抗真菌药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直接作用的抗病毒药</w:t>
            </w:r>
          </w:p>
        </w:tc>
      </w:tr>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项目编码</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尿液一般检查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尿常规检查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250301015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α1抗胰蛋白酶测定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酸性糖蛋白测定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腺苷脱氨酶测定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250305016</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血清5′核苷酸酶测定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250305017</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血清α-L-岩藻糖苷酶测定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D-二聚体测定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250203066</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血浆D-二聚体测定(D-Dimer)</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尿肌酐/尿蛋白测定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250307006</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大便常规</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250103002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隐血试验</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250103001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粪便常规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凝血功能</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BK/JC/EB/CMV核酸检测</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血药浓度测定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250403025.10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EB病毒抗体测定(IgG)</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250403025.20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EB病毒抗体测定(IgM)</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250403025.30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250403025.40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EB病毒抗体测定(EBV-CA)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250403025.50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EB病毒抗体测定(EBV-EA)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250403025.60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EB病毒抗体测定(EBVIgG)</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250403025.70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EB病毒抗体测定(EBVIgM)</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250403025.80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EB病毒抗体测定(EBV-EAIgG)</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250403025.90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EB病毒抗体测定(EBNA-G)</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250401023.10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250401023.20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免疫球蛋白定量测定(IgG)</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250401023.30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免疫球蛋白定量测定(IgM)</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250401023.40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免疫球蛋白定量测定(IgD)</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250401023.50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免疫球蛋白定量测定(IgE)</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补体测定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250401019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总补体测定(CH50)</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单项补体测定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T淋巴细胞亚群相关检测</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A250401036</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淋巴细胞CD4/CD8绝对数检测</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细胞因子测定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250401014</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各种白介素测定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肿瘤坏死因子测定(TNF)</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心电图（常规、动态）</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腹部、门静脉系彩超</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220302004</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门静脉系彩色多普勒超声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nil"/>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全腹部CT平扫或增强</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nil"/>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nil"/>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EBAQT001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上腹部X线计算机体层(CT)平扫</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nil"/>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EBBQT001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上腹部X线计算机体层(CT)增强扫描</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nil"/>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EBAQT002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仿宋" w:cs="仿宋"/>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仿宋"/>
                <w:color w:val="000000" w:themeColor="text1"/>
                <w:kern w:val="0"/>
                <w:szCs w:val="21"/>
                <w:lang w:bidi="ar"/>
                <w14:textFill>
                  <w14:solidFill>
                    <w14:schemeClr w14:val="tx1"/>
                  </w14:solidFill>
                </w14:textFill>
              </w:rPr>
              <w:t>下腹部X线计算机体层(CT)平扫</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nil"/>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EBBQT00</w:t>
            </w:r>
            <w:r>
              <w:rPr>
                <w:rFonts w:hint="eastAsia" w:ascii="Times New Roman" w:hAnsi="Times New Roman" w:eastAsia="方正仿宋_GBK" w:cs="方正仿宋_GBK"/>
                <w:color w:val="000000" w:themeColor="text1"/>
                <w:szCs w:val="21"/>
                <w:lang w:val="en-US" w:eastAsia="zh-CN"/>
                <w14:textFill>
                  <w14:solidFill>
                    <w14:schemeClr w14:val="tx1"/>
                  </w14:solidFill>
                </w14:textFill>
              </w:rPr>
              <w:t>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仿宋" w:cs="仿宋"/>
                <w:color w:val="000000" w:themeColor="text1"/>
                <w:szCs w:val="21"/>
                <w14:textFill>
                  <w14:solidFill>
                    <w14:schemeClr w14:val="tx1"/>
                  </w14:solidFill>
                </w14:textFill>
              </w:rPr>
            </w:pPr>
            <w:r>
              <w:rPr>
                <w:rFonts w:hint="eastAsia" w:ascii="Times New Roman" w:hAnsi="Times New Roman" w:eastAsia="仿宋" w:cs="仿宋"/>
                <w:color w:val="000000" w:themeColor="text1"/>
                <w:szCs w:val="21"/>
                <w14:textFill>
                  <w14:solidFill>
                    <w14:schemeClr w14:val="tx1"/>
                  </w14:solidFill>
                </w14:textFill>
              </w:rPr>
              <w:t>下腹部X线计算机体层(CT)增强扫描</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心电图（常规、动态）</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tbl>
      <w:tblPr>
        <w:tblStyle w:val="4"/>
        <w:tblW w:w="8691" w:type="dxa"/>
        <w:tblInd w:w="93" w:type="dxa"/>
        <w:tblLayout w:type="fixed"/>
        <w:tblCellMar>
          <w:top w:w="0" w:type="dxa"/>
          <w:left w:w="108" w:type="dxa"/>
          <w:bottom w:w="0" w:type="dxa"/>
          <w:right w:w="108" w:type="dxa"/>
        </w:tblCellMar>
      </w:tblPr>
      <w:tblGrid>
        <w:gridCol w:w="666"/>
        <w:gridCol w:w="2926"/>
        <w:gridCol w:w="1830"/>
        <w:gridCol w:w="3269"/>
      </w:tblGrid>
      <w:tr>
        <w:tblPrEx>
          <w:tblCellMar>
            <w:top w:w="0" w:type="dxa"/>
            <w:left w:w="108" w:type="dxa"/>
            <w:bottom w:w="0" w:type="dxa"/>
            <w:right w:w="108" w:type="dxa"/>
          </w:tblCellMar>
        </w:tblPrEx>
        <w:trPr>
          <w:trHeight w:val="610" w:hRule="atLeast"/>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肺移植术后抗排异治疗</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Z94.200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肺移植状态</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Z94.300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心和肺移植状态</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T86.800x011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肺移植失败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T86.803</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移植肺排斥反应</w:t>
            </w:r>
          </w:p>
        </w:tc>
      </w:tr>
      <w:tr>
        <w:tblPrEx>
          <w:tblCellMar>
            <w:top w:w="0" w:type="dxa"/>
            <w:left w:w="108" w:type="dxa"/>
            <w:bottom w:w="0" w:type="dxa"/>
            <w:right w:w="108" w:type="dxa"/>
          </w:tblCellMar>
        </w:tblPrEx>
        <w:trPr>
          <w:trHeight w:val="91"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完成肺移植术后且仍存留体内需要抗排异治疗，预防发生严重的排异反应。</w:t>
            </w:r>
          </w:p>
        </w:tc>
      </w:tr>
      <w:tr>
        <w:tblPrEx>
          <w:tblCellMar>
            <w:top w:w="0" w:type="dxa"/>
            <w:left w:w="108" w:type="dxa"/>
            <w:bottom w:w="0" w:type="dxa"/>
            <w:right w:w="108" w:type="dxa"/>
          </w:tblCellMar>
        </w:tblPrEx>
        <w:trPr>
          <w:trHeight w:val="91" w:hRule="atLeast"/>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50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医保目录药品名称</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免疫抑制药物</w:t>
            </w:r>
          </w:p>
        </w:tc>
        <w:tc>
          <w:tcPr>
            <w:tcW w:w="50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环孢素、他克莫司、西罗莫司、吗替麦考酚酯、硫唑嘌呤、甲泼尼龙、环磷酰胺、利妥昔单抗等</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分类代码</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抗菌药物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w:t>
            </w:r>
          </w:p>
        </w:tc>
        <w:tc>
          <w:tcPr>
            <w:tcW w:w="3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全身用抗菌药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抗真菌药物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全身用抗真菌药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直接作用的抗病毒药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移植后降压、降脂</w:t>
            </w:r>
          </w:p>
        </w:tc>
        <w:tc>
          <w:tcPr>
            <w:tcW w:w="50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参照高血压特病医疗保障指南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移植后降糖</w:t>
            </w:r>
          </w:p>
        </w:tc>
        <w:tc>
          <w:tcPr>
            <w:tcW w:w="50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参照糖尿病特病医疗保障指南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移植后高尿酸血症</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XM04</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抗痛风药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XA02A</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抗酸药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移植后药物性肝损伤</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移植后抗凝防栓</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抗血栓形成药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移植后红细胞增多症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XR03DA</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黄嘌呤类</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移植后白细胞减少、血小板减少、肾性贫血</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XL03AA</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集落刺激因子</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XL03AX</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其他免疫增强剂</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XB03X</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其他抗贫血制剂</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移植后骨质疏松</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钙稳态药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尿液一般检查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尿常规检查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250301015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α1抗胰蛋白酶测定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250404019</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酸性糖蛋白测定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250305023</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腺苷脱氨酶测定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250305016</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血清5′核苷酸酶测定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250305017</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血清α-L-岩藻糖苷酶测定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BK/JC/EB/CMV核酸检测</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血药浓度测定</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T淋巴细胞亚群直接计数检测(CD3/CD4/CD8)</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A250401036</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淋巴细胞CD4/CD8绝对数检测</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降钙素原检测</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250310054</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降钙素原检测</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真菌G试验检测</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250501040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真菌D-葡聚糖检测</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BNP、NT-pro BNP</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250306013</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B型钠尿肽前体(PRO-BNP)测定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凝血功能</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大便常规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250103001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粪便常规</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计算机X线摄影(CR)</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心脏、腹部超声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仿宋" w:cs="仿宋"/>
                <w:color w:val="000000" w:themeColor="text1"/>
                <w:szCs w:val="21"/>
                <w14:textFill>
                  <w14:solidFill>
                    <w14:schemeClr w14:val="tx1"/>
                  </w14:solidFill>
                </w14:textFill>
              </w:rPr>
            </w:pPr>
            <w:r>
              <w:rPr>
                <w:rFonts w:hint="eastAsia" w:ascii="Times New Roman" w:hAnsi="Times New Roman" w:eastAsia="仿宋" w:cs="仿宋"/>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心电图（常规、动态）</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肺功能检测</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310601005</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残气容积测定</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肺弥散功能检查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肺通气功能检查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310601008</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流速容量曲线(V—V曲线)</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310601006</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强迫振荡肺功能检查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310601010</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支气管激发试验</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310601012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支气管舒张试验</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纤维支气管镜检查</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310605002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纤维支气管镜检查</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270200004</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脱落细胞学检查与诊断</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胸部CT、磁共振平扫或增强</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磁共振增强扫描</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ECAJT001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胸部磁共振成像</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ECBJT001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胸部磁共振增强成像</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冠状动脉CT血管造影</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EBCKU002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冠状动脉CT三维成像</w:t>
            </w:r>
          </w:p>
        </w:tc>
      </w:tr>
      <w:tr>
        <w:tblPrEx>
          <w:tblCellMar>
            <w:top w:w="0" w:type="dxa"/>
            <w:left w:w="108" w:type="dxa"/>
            <w:bottom w:w="0" w:type="dxa"/>
            <w:right w:w="108" w:type="dxa"/>
          </w:tblCellMar>
        </w:tblPrEx>
        <w:trPr>
          <w:trHeight w:val="91"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EBCKU001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冠状动脉钙化积分</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tbl>
      <w:tblPr>
        <w:tblStyle w:val="4"/>
        <w:tblW w:w="8691" w:type="dxa"/>
        <w:tblInd w:w="93" w:type="dxa"/>
        <w:tblLayout w:type="autofit"/>
        <w:tblCellMar>
          <w:top w:w="0" w:type="dxa"/>
          <w:left w:w="108" w:type="dxa"/>
          <w:bottom w:w="0" w:type="dxa"/>
          <w:right w:w="108" w:type="dxa"/>
        </w:tblCellMar>
      </w:tblPr>
      <w:tblGrid>
        <w:gridCol w:w="787"/>
        <w:gridCol w:w="1936"/>
        <w:gridCol w:w="1979"/>
        <w:gridCol w:w="3989"/>
      </w:tblGrid>
      <w:tr>
        <w:tblPrEx>
          <w:tblCellMar>
            <w:top w:w="0" w:type="dxa"/>
            <w:left w:w="108" w:type="dxa"/>
            <w:bottom w:w="0" w:type="dxa"/>
            <w:right w:w="108" w:type="dxa"/>
          </w:tblCellMar>
        </w:tblPrEx>
        <w:trPr>
          <w:trHeight w:val="680"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肝移植术后抗排异治疗</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T86.400x014</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肝移植后下腔静脉血栓形成</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肝移植后下腔静脉狭窄</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T86.400x016</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肝移植后肝静脉回流障碍</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T86.400x017</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肝移植后肝功能不全</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T86.400x018</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肝移植后门静脉闭塞</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Z94.400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肝移植状态</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T86.400x009</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肝移植后肝动脉血栓形成</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肝移植后肝动脉狭窄</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肝移植后肝动脉假性动脉瘤</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肝移植后门静脉血栓形成</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T86.400x013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肝移植后门静脉狭窄</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T86.400x003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肝移植排斥</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T86.400x004</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肝移植物急性抗宿主病</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肝移植物慢性抗宿主病</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T86.400x006</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肝移植急性排斥</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T86.400x007</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肝移植慢性排斥</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E89.800x002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肝移植术后糖尿病</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E89.800x003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肝移植术后高脂血症</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T82.813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肝移植后肝动脉假性动脉瘤破裂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T86.400x005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肝移植物慢性抗宿主病</w:t>
            </w:r>
          </w:p>
        </w:tc>
      </w:tr>
      <w:tr>
        <w:tblPrEx>
          <w:tblCellMar>
            <w:top w:w="0" w:type="dxa"/>
            <w:left w:w="108" w:type="dxa"/>
            <w:bottom w:w="0" w:type="dxa"/>
            <w:right w:w="108" w:type="dxa"/>
          </w:tblCellMar>
        </w:tblPrEx>
        <w:trPr>
          <w:trHeight w:val="91"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完成肝移植术后且仍存留体内需要抗排异治疗，预防发生严重的排异反应。</w:t>
            </w:r>
          </w:p>
        </w:tc>
      </w:tr>
      <w:tr>
        <w:tblPrEx>
          <w:tblCellMar>
            <w:top w:w="0" w:type="dxa"/>
            <w:left w:w="108" w:type="dxa"/>
            <w:bottom w:w="0" w:type="dxa"/>
            <w:right w:w="108" w:type="dxa"/>
          </w:tblCellMar>
        </w:tblPrEx>
        <w:trPr>
          <w:trHeight w:val="91"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5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医保目录药品名称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抗排异药物</w:t>
            </w:r>
          </w:p>
        </w:tc>
        <w:tc>
          <w:tcPr>
            <w:tcW w:w="5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环孢素、他克莫司、吗替麦考酚酯、泼尼松、甲泼尼龙等</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抗真菌药物</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全身用抗真菌药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直接作用的抗病毒药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其他辅助用药</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抗血栓形成药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XA07F</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止泻微生物</w:t>
            </w:r>
          </w:p>
        </w:tc>
      </w:tr>
      <w:tr>
        <w:tblPrEx>
          <w:tblCellMar>
            <w:top w:w="0" w:type="dxa"/>
            <w:left w:w="108" w:type="dxa"/>
            <w:bottom w:w="0" w:type="dxa"/>
            <w:right w:w="108" w:type="dxa"/>
          </w:tblCellMar>
        </w:tblPrEx>
        <w:trPr>
          <w:trHeight w:val="91"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250305017</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血清α-L-岩藻糖苷酶测定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凝血功能</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D-二聚体测定+纤维蛋白(原)降解产物(FDP)</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250203066</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血浆D-二聚体测定(D-Dimer)</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纤维蛋白(原)降解产物测定(FDP)</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BK/JC/EB/CMV核酸检测</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血药浓度测定</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250403025.10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250403025.20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EB病毒抗体测定(IgM)</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250403025.30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EB病毒抗体测定(IgA)</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250403025.40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EB病毒抗体测定(EBV-CA)</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250403025.50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EB病毒抗体测定(EBV-EA)</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250403025.60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EB病毒抗体测定(EBVIgG)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250403025.70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EB病毒抗体测定(EBVIgM)</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250403025.80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EB病毒抗体测定(EBV-EAIgG)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250403025.90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EB病毒抗体测定(EBNA-G)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T淋巴细胞亚群相关检测</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A250401036</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淋巴细胞CD4/CD8绝对数检测</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乙肝DNA检测</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乙型肝炎DNA测定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甲丙丁戊肝炎指标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丙型肝炎RNA测定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250403014</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丙型肝炎抗体测定(Anti-HCV)</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CGLY1000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丙型肝炎核心抗原测定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丁型肝炎抗体测定(Anti-HDV)</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250403016</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丁型肝炎抗原测定(HDVAg)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250403017</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戊型肝炎抗体测定(Anti-HEV)</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250403018</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庚型肝炎IgG抗体测定(Anti-HGVIgG)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甲型肝炎抗体测定(Anti-HAV)</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甲型肝炎抗原测定(HAVAg)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乙肝指标（定量）</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250403008</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乙型肝炎核心抗原测定(HBcAg)</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乙型肝炎核心IgM抗体测定(Anti-HBcIgM)</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腹部、门静脉系超声</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220302005</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腹部大血管彩色多普勒超声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220302004</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门静脉系彩色多普勒超声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上腹部、胸部CT平扫或增强</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EBAQT001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上腹部X线计算机体层(CT)平扫</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EBBQT001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上腹部X线计算机体层(CT)增强扫描</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上腹部磁共振增强</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210200002</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磁共振增强扫描</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ECBQT001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上腹部磁共振增强成像</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磁共振胰胆管成像(MRCP)</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210200006.10</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磁共振水成像(胰胆管成像)</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ECAQP001</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胰胆管系统磁共振水成像(MRCP)</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肝穿刺</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310905003</w:t>
            </w:r>
          </w:p>
        </w:tc>
        <w:tc>
          <w:tcPr>
            <w:tcW w:w="3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肝穿刺术</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tbl>
      <w:tblPr>
        <w:tblStyle w:val="4"/>
        <w:tblW w:w="8691" w:type="dxa"/>
        <w:tblInd w:w="93" w:type="dxa"/>
        <w:tblLayout w:type="fixed"/>
        <w:tblCellMar>
          <w:top w:w="0" w:type="dxa"/>
          <w:left w:w="108" w:type="dxa"/>
          <w:bottom w:w="0" w:type="dxa"/>
          <w:right w:w="108" w:type="dxa"/>
        </w:tblCellMar>
      </w:tblPr>
      <w:tblGrid>
        <w:gridCol w:w="696"/>
        <w:gridCol w:w="2312"/>
        <w:gridCol w:w="2054"/>
        <w:gridCol w:w="3629"/>
      </w:tblGrid>
      <w:tr>
        <w:tblPrEx>
          <w:tblCellMar>
            <w:top w:w="0" w:type="dxa"/>
            <w:left w:w="108" w:type="dxa"/>
            <w:bottom w:w="0" w:type="dxa"/>
            <w:right w:w="108" w:type="dxa"/>
          </w:tblCellMar>
        </w:tblPrEx>
        <w:trPr>
          <w:trHeight w:val="380" w:hRule="atLeast"/>
        </w:trPr>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胰腺、胰岛移植术后抗排异治疗</w:t>
            </w: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Z94.803</w:t>
            </w:r>
          </w:p>
        </w:tc>
        <w:tc>
          <w:tcPr>
            <w:tcW w:w="3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胰腺移植状态</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T86.800x021</w:t>
            </w:r>
          </w:p>
        </w:tc>
        <w:tc>
          <w:tcPr>
            <w:tcW w:w="3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胰移植失败</w:t>
            </w:r>
          </w:p>
        </w:tc>
      </w:tr>
      <w:tr>
        <w:tblPrEx>
          <w:tblCellMar>
            <w:top w:w="0" w:type="dxa"/>
            <w:left w:w="108" w:type="dxa"/>
            <w:bottom w:w="0" w:type="dxa"/>
            <w:right w:w="108" w:type="dxa"/>
          </w:tblCellMar>
        </w:tblPrEx>
        <w:trPr>
          <w:trHeight w:val="483"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完成胰腺或胰岛移植术后且仍存留体内需要抗排异治疗，预防发生严重的排异反应。</w:t>
            </w:r>
          </w:p>
        </w:tc>
      </w:tr>
      <w:tr>
        <w:tblPrEx>
          <w:tblCellMar>
            <w:top w:w="0" w:type="dxa"/>
            <w:left w:w="108" w:type="dxa"/>
            <w:bottom w:w="0" w:type="dxa"/>
            <w:right w:w="108" w:type="dxa"/>
          </w:tblCellMar>
        </w:tblPrEx>
        <w:trPr>
          <w:trHeight w:val="422" w:hRule="atLeast"/>
        </w:trPr>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5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医保目录药品名称</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免疫抑制药物</w:t>
            </w:r>
          </w:p>
        </w:tc>
        <w:tc>
          <w:tcPr>
            <w:tcW w:w="5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环孢素、他克莫司、吗替麦考酚酯、麦考酚钠、西罗莫司、来氟米特、咪唑立宾、硫唑嘌呤、硼替佐米、甲泼尼龙等</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细胞毒性药物</w:t>
            </w: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XL01AA</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氮芥类似物</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激素类药物</w:t>
            </w: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移植后降压、降脂</w:t>
            </w:r>
          </w:p>
        </w:tc>
        <w:tc>
          <w:tcPr>
            <w:tcW w:w="5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参照高血压特病医疗保障指南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移植后降糖</w:t>
            </w:r>
          </w:p>
        </w:tc>
        <w:tc>
          <w:tcPr>
            <w:tcW w:w="5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参照糖尿病特病医疗保障指南</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药品类别</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移植后高尿酸血症</w:t>
            </w: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XM04</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抗痛风药</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XA02A</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抗酸药</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移植后白细胞减少、血小板减少、肾性贫血治疗</w:t>
            </w: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XL03AA</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集落刺激因子</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XB03X</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其他抗贫血制剂</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直接作用的抗病毒药</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胰岛移植后骨质疏松</w:t>
            </w: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辅助治疗</w:t>
            </w: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尿液一般检查</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尿常规检查</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250301015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α1抗胰蛋白酶测定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250404019</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酸性糖蛋白测定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250305023</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腺苷脱氨酶测定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250305016</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血清5′核苷酸酶测定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250305017</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血清α-L-岩藻糖苷酶测定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胰淀粉酶测定</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250308004</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淀粉酶测定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250308006</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血清脂肪酶测定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血药浓度测定</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上腹部CT平扫或增强</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EBAQT001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上腹部X线计算机体层(CT)平扫</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EBBQT001</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上腹部X线计算机体层(CT)增强扫描</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骨密度测定（限胰岛移植术后）</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腹部、门静脉系超声</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220302005</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腹部大血管彩色多普勒超声</w:t>
            </w:r>
          </w:p>
        </w:tc>
      </w:tr>
      <w:tr>
        <w:tblPrEx>
          <w:tblCellMar>
            <w:top w:w="0" w:type="dxa"/>
            <w:left w:w="108" w:type="dxa"/>
            <w:bottom w:w="0" w:type="dxa"/>
            <w:right w:w="108" w:type="dxa"/>
          </w:tblCellMar>
        </w:tblPrEx>
        <w:trPr>
          <w:trHeight w:val="9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220302004</w:t>
            </w:r>
          </w:p>
        </w:tc>
        <w:tc>
          <w:tcPr>
            <w:tcW w:w="36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门静脉系彩色多普勒超声</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3</w:t>
      </w:r>
      <w:r>
        <w:rPr>
          <w:rFonts w:ascii="Times New Roman" w:hAnsi="Times New Roman" w:eastAsia="黑体"/>
          <w:color w:val="000000" w:themeColor="text1"/>
          <w:sz w:val="30"/>
          <w:szCs w:val="30"/>
          <w14:textFill>
            <w14:solidFill>
              <w14:schemeClr w14:val="tx1"/>
            </w14:solidFill>
          </w14:textFill>
        </w:rPr>
        <w:t>.恶性肿瘤</w:t>
      </w:r>
    </w:p>
    <w:tbl>
      <w:tblPr>
        <w:tblStyle w:val="4"/>
        <w:tblW w:w="8843" w:type="dxa"/>
        <w:tblInd w:w="93" w:type="dxa"/>
        <w:tblLayout w:type="fixed"/>
        <w:tblCellMar>
          <w:top w:w="0" w:type="dxa"/>
          <w:left w:w="108" w:type="dxa"/>
          <w:bottom w:w="0" w:type="dxa"/>
          <w:right w:w="108" w:type="dxa"/>
        </w:tblCellMar>
      </w:tblPr>
      <w:tblGrid>
        <w:gridCol w:w="681"/>
        <w:gridCol w:w="2573"/>
        <w:gridCol w:w="1928"/>
        <w:gridCol w:w="3661"/>
      </w:tblGrid>
      <w:tr>
        <w:tblPrEx>
          <w:tblCellMar>
            <w:top w:w="0" w:type="dxa"/>
            <w:left w:w="108" w:type="dxa"/>
            <w:bottom w:w="0" w:type="dxa"/>
            <w:right w:w="108" w:type="dxa"/>
          </w:tblCellMar>
        </w:tblPrEx>
        <w:trPr>
          <w:trHeight w:val="373"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 w:val="24"/>
                <w14:textFill>
                  <w14:solidFill>
                    <w14:schemeClr w14:val="tx1"/>
                  </w14:solidFill>
                </w14:textFill>
              </w:rPr>
            </w:pPr>
            <w:r>
              <w:rPr>
                <w:rFonts w:hint="eastAsia" w:ascii="Times New Roman" w:hAnsi="Times New Roman" w:eastAsia="方正黑体_GBK" w:cs="方正黑体_GBK"/>
                <w:color w:val="000000" w:themeColor="text1"/>
                <w:kern w:val="0"/>
                <w:sz w:val="24"/>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恶性肿瘤</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CXX.XXX</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恶性肿瘤</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D03</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黑色素瘤</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D46.900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骨髓增生异常综合征</w:t>
            </w:r>
          </w:p>
        </w:tc>
      </w:tr>
      <w:tr>
        <w:tblPrEx>
          <w:tblCellMar>
            <w:top w:w="0" w:type="dxa"/>
            <w:left w:w="108" w:type="dxa"/>
            <w:bottom w:w="0" w:type="dxa"/>
            <w:right w:w="108" w:type="dxa"/>
          </w:tblCellMar>
        </w:tblPrEx>
        <w:trPr>
          <w:trHeight w:val="364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7"/>
                <w:rFonts w:ascii="Times New Roman" w:hAnsi="Times New Roman"/>
                <w:color w:val="000000" w:themeColor="text1"/>
                <w:sz w:val="21"/>
                <w:szCs w:val="21"/>
                <w:lang w:bidi="ar"/>
                <w14:textFill>
                  <w14:solidFill>
                    <w14:schemeClr w14:val="tx1"/>
                  </w14:solidFill>
                </w14:textFill>
              </w:rPr>
            </w:pPr>
            <w:r>
              <w:rPr>
                <w:rStyle w:val="7"/>
                <w:rFonts w:hint="eastAsia" w:ascii="Times New Roman" w:hAnsi="Times New Roman"/>
                <w:color w:val="000000" w:themeColor="text1"/>
                <w:sz w:val="21"/>
                <w:szCs w:val="21"/>
                <w:lang w:bidi="ar"/>
                <w14:textFill>
                  <w14:solidFill>
                    <w14:schemeClr w14:val="tx1"/>
                  </w14:solidFill>
                </w14:textFill>
              </w:rPr>
              <w:t>满足以下任意一条：</w:t>
            </w:r>
          </w:p>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Style w:val="7"/>
                <w:rFonts w:ascii="Times New Roman" w:hAnsi="Times New Roman"/>
                <w:color w:val="000000" w:themeColor="text1"/>
                <w:sz w:val="21"/>
                <w:szCs w:val="21"/>
                <w:lang w:bidi="ar"/>
                <w14:textFill>
                  <w14:solidFill>
                    <w14:schemeClr w14:val="tx1"/>
                  </w14:solidFill>
                </w14:textFill>
              </w:rPr>
              <w:t>一、病理学诊断：穿刺、钳取、切取或切除后的组织病理学诊断，包括血液病的骨髓穿刺病检等。</w:t>
            </w:r>
            <w:r>
              <w:rPr>
                <w:rStyle w:val="7"/>
                <w:rFonts w:ascii="Times New Roman" w:hAnsi="Times New Roman"/>
                <w:color w:val="000000" w:themeColor="text1"/>
                <w:sz w:val="21"/>
                <w:szCs w:val="21"/>
                <w:lang w:bidi="ar"/>
                <w14:textFill>
                  <w14:solidFill>
                    <w14:schemeClr w14:val="tx1"/>
                  </w14:solidFill>
                </w14:textFill>
              </w:rPr>
              <w:br w:type="textWrapping"/>
            </w:r>
            <w:r>
              <w:rPr>
                <w:rStyle w:val="7"/>
                <w:rFonts w:ascii="Times New Roman" w:hAnsi="Times New Roman"/>
                <w:color w:val="000000" w:themeColor="text1"/>
                <w:sz w:val="21"/>
                <w:szCs w:val="21"/>
                <w:lang w:bidi="ar"/>
                <w14:textFill>
                  <w14:solidFill>
                    <w14:schemeClr w14:val="tx1"/>
                  </w14:solidFill>
                </w14:textFill>
              </w:rPr>
              <w:t>二、细胞学诊断：脱落细胞学和（或）穿刺细胞学而作出的细胞病理学诊断，包括血液病的外周血及骨髓涂片、流式细胞学检查。</w:t>
            </w:r>
            <w:r>
              <w:rPr>
                <w:rStyle w:val="7"/>
                <w:rFonts w:ascii="Times New Roman" w:hAnsi="Times New Roman"/>
                <w:color w:val="000000" w:themeColor="text1"/>
                <w:sz w:val="21"/>
                <w:szCs w:val="21"/>
                <w:lang w:bidi="ar"/>
                <w14:textFill>
                  <w14:solidFill>
                    <w14:schemeClr w14:val="tx1"/>
                  </w14:solidFill>
                </w14:textFill>
              </w:rPr>
              <w:br w:type="textWrapping"/>
            </w:r>
            <w:r>
              <w:rPr>
                <w:rStyle w:val="7"/>
                <w:rFonts w:ascii="Times New Roman" w:hAnsi="Times New Roman"/>
                <w:color w:val="000000" w:themeColor="text1"/>
                <w:sz w:val="21"/>
                <w:szCs w:val="21"/>
                <w:lang w:bidi="ar"/>
                <w14:textFill>
                  <w14:solidFill>
                    <w14:schemeClr w14:val="tx1"/>
                  </w14:solidFill>
                </w14:textFill>
              </w:rPr>
              <w:t>三、临床诊断：在因医学原因无法取得病理学或细胞学诊断结果情况下，按照相关临床诊疗指南，结合病史、物理检查、辅助检查且必须具备影像学检查</w:t>
            </w:r>
            <w:r>
              <w:rPr>
                <w:rStyle w:val="8"/>
                <w:rFonts w:ascii="Times New Roman" w:hAnsi="Times New Roman"/>
                <w:color w:val="000000" w:themeColor="text1"/>
                <w:sz w:val="21"/>
                <w:szCs w:val="21"/>
                <w:lang w:bidi="ar"/>
                <w14:textFill>
                  <w14:solidFill>
                    <w14:schemeClr w14:val="tx1"/>
                  </w14:solidFill>
                </w14:textFill>
              </w:rPr>
              <w:t>，经三级医院多学科联合诊疗达成共识意见，并在诊断证明书注明“临床诊断”。</w:t>
            </w:r>
            <w:r>
              <w:rPr>
                <w:rStyle w:val="8"/>
                <w:rFonts w:ascii="Times New Roman" w:hAnsi="Times New Roman"/>
                <w:color w:val="000000" w:themeColor="text1"/>
                <w:sz w:val="21"/>
                <w:szCs w:val="21"/>
                <w:lang w:bidi="ar"/>
                <w14:textFill>
                  <w14:solidFill>
                    <w14:schemeClr w14:val="tx1"/>
                  </w14:solidFill>
                </w14:textFill>
              </w:rPr>
              <w:br w:type="textWrapping"/>
            </w:r>
            <w:r>
              <w:rPr>
                <w:rStyle w:val="8"/>
                <w:rFonts w:ascii="Times New Roman" w:hAnsi="Times New Roman"/>
                <w:color w:val="000000" w:themeColor="text1"/>
                <w:sz w:val="21"/>
                <w:szCs w:val="21"/>
                <w:lang w:bidi="ar"/>
                <w14:textFill>
                  <w14:solidFill>
                    <w14:schemeClr w14:val="tx1"/>
                  </w14:solidFill>
                </w14:textFill>
              </w:rPr>
              <w:br w:type="textWrapping"/>
            </w:r>
            <w:r>
              <w:rPr>
                <w:rStyle w:val="8"/>
                <w:rFonts w:ascii="Times New Roman" w:hAnsi="Times New Roman"/>
                <w:color w:val="000000" w:themeColor="text1"/>
                <w:sz w:val="21"/>
                <w:szCs w:val="21"/>
                <w:lang w:bidi="ar"/>
                <w14:textFill>
                  <w14:solidFill>
                    <w14:schemeClr w14:val="tx1"/>
                  </w14:solidFill>
                </w14:textFill>
              </w:rPr>
              <w:t>注：1.纳入我国儿童恶性肿瘤救治管理病种范围的同步纳入恶性肿瘤特病保障范围；</w:t>
            </w:r>
            <w:r>
              <w:rPr>
                <w:rStyle w:val="8"/>
                <w:rFonts w:ascii="Times New Roman" w:hAnsi="Times New Roman"/>
                <w:color w:val="000000" w:themeColor="text1"/>
                <w:sz w:val="21"/>
                <w:szCs w:val="21"/>
                <w:lang w:bidi="ar"/>
                <w14:textFill>
                  <w14:solidFill>
                    <w14:schemeClr w14:val="tx1"/>
                  </w14:solidFill>
                </w14:textFill>
              </w:rPr>
              <w:br w:type="textWrapping"/>
            </w:r>
            <w:r>
              <w:rPr>
                <w:rStyle w:val="8"/>
                <w:rFonts w:ascii="Times New Roman" w:hAnsi="Times New Roman"/>
                <w:color w:val="000000" w:themeColor="text1"/>
                <w:sz w:val="21"/>
                <w:szCs w:val="21"/>
                <w:lang w:bidi="ar"/>
                <w14:textFill>
                  <w14:solidFill>
                    <w14:schemeClr w14:val="tx1"/>
                  </w14:solidFill>
                </w14:textFill>
              </w:rPr>
              <w:t xml:space="preserve">     2.按照临床诊疗指南无需门诊长期治疗的原位癌不纳入恶性肿瘤特病保障范围。</w:t>
            </w:r>
          </w:p>
        </w:tc>
      </w:tr>
      <w:tr>
        <w:tblPrEx>
          <w:tblCellMar>
            <w:top w:w="0" w:type="dxa"/>
            <w:left w:w="108" w:type="dxa"/>
            <w:bottom w:w="0" w:type="dxa"/>
            <w:right w:w="108" w:type="dxa"/>
          </w:tblCellMar>
        </w:tblPrEx>
        <w:trPr>
          <w:trHeight w:val="9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6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抗肿瘤化学、靶向、免疫、内分泌治疗药物</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抗肿瘤药及免疫调节剂</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恶性肿瘤骨转移治疗药物</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XM05</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治疗骨病的药物</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恶性肿瘤镇痛药物</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恶性肿瘤对症支持治疗药物</w:t>
            </w:r>
          </w:p>
        </w:tc>
        <w:tc>
          <w:tcPr>
            <w:tcW w:w="5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必须的支持治疗和全身或局部反应的对症治疗</w:t>
            </w:r>
          </w:p>
        </w:tc>
      </w:tr>
      <w:tr>
        <w:tblPrEx>
          <w:tblCellMar>
            <w:top w:w="0" w:type="dxa"/>
            <w:left w:w="108" w:type="dxa"/>
            <w:bottom w:w="0" w:type="dxa"/>
            <w:right w:w="108" w:type="dxa"/>
          </w:tblCellMar>
        </w:tblPrEx>
        <w:trPr>
          <w:trHeight w:val="9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5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6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尿液检查</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250307001.00 </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250307009</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肿瘤标志物（与病变肿瘤相关的标志物，医保基金支付不超过2次/年）</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癌胚抗原测定(CEA)</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甲胎蛋白测定(AFP)</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250404026</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甲胎蛋白异质体测定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250310038</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血清人绒毛膜促性腺激素测定(HCG)</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总前列腺特异性抗原测定(TPSA)</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250404007</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复合前列腺特异性抗原(CPSA)测定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both"/>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250404033</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前列腺特异性抗原同源异构体（P2PSA）检测</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250404006</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游离前列腺特异性抗原测定(FPSA)</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250404009</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神经元特异性烯醇化酶测定(NSE)</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细胞角蛋白19片段测定(CYFRA21-1)</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250310057</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血清胃泌素释放肽前体(ProGRP)测定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250404011.30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糖类抗原测定(CA-50)</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250404011.40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糖类抗原测定(CA-125)</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250404011.50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糖类抗原测定(CA15－3)</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250404011.70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糖类抗原测定(CA19－9)</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250404011.80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糖类抗原测定(CA24－2)</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250404011.90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糖类抗原测定(CA72－4)</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250404012</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鳞状细胞癌相关抗原测定(SCC)</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250310025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尿香草苦杏仁酸(VMA)测定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骨髓瘤相关检验</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免疫固定电泳</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both"/>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250401027</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轻链KAPPA、LAMBDA定量(K-LC，λ-LC)</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250301004</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血清蛋白电泳</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白血病相关检验</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250201006</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白血病免疫分型</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40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 w:val="24"/>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250700017</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 w:val="24"/>
                <w14:textFill>
                  <w14:solidFill>
                    <w14:schemeClr w14:val="tx1"/>
                  </w14:solidFill>
                </w14:textFill>
              </w:rPr>
            </w:pPr>
            <w:r>
              <w:rPr>
                <w:rFonts w:ascii="Times New Roman" w:hAnsi="Times New Roman" w:eastAsia="方正仿宋_GBK" w:cs="方正仿宋_GBK"/>
                <w:color w:val="000000" w:themeColor="text1"/>
                <w:kern w:val="0"/>
                <w:sz w:val="24"/>
                <w:lang w:bidi="ar"/>
                <w14:textFill>
                  <w14:solidFill>
                    <w14:schemeClr w14:val="tx1"/>
                  </w14:solidFill>
                </w14:textFill>
              </w:rPr>
              <w:t>白血病融合基因分型</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EB病毒（限鼻咽癌、淋巴瘤）</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超声检查（限肿瘤部位、肝胆胰脾肾及淋巴结）</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X线检查（限肿瘤部位）</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计算机X线摄影(CR)</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Style w:val="7"/>
                <w:rFonts w:ascii="Times New Roman" w:hAnsi="Times New Roman"/>
                <w:color w:val="000000" w:themeColor="text1"/>
                <w:sz w:val="21"/>
                <w:szCs w:val="21"/>
                <w:lang w:bidi="ar"/>
                <w14:textFill>
                  <w14:solidFill>
                    <w14:schemeClr w14:val="tx1"/>
                  </w14:solidFill>
                </w14:textFill>
              </w:rPr>
              <w:t>CT</w:t>
            </w:r>
            <w:r>
              <w:rPr>
                <w:rStyle w:val="8"/>
                <w:rFonts w:ascii="Times New Roman" w:hAnsi="Times New Roman"/>
                <w:color w:val="000000" w:themeColor="text1"/>
                <w:sz w:val="21"/>
                <w:szCs w:val="21"/>
                <w:lang w:bidi="ar"/>
                <w14:textFill>
                  <w14:solidFill>
                    <w14:schemeClr w14:val="tx1"/>
                  </w14:solidFill>
                </w14:textFill>
              </w:rPr>
              <w:t>平扫或增强（限肿瘤部位）</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平扫</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增强扫描</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磁共振平扫或增强（限肿瘤部位）</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磁共振成像</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磁共振增强成像</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磁共振增强扫描</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ECT检查（限转移性骨肿瘤和骨恶性肿瘤）</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2303</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单光子发射计算机断层显象(SPECT)</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听力检查（限儿童化疗后听力损伤）</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310401002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纯音听阈测定</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310401015</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耳声发射检查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内镜检查（普通或无痛，限肿瘤部位）</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310605002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纤维支气管镜检查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310403006</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纤维鼻咽镜检查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310403009</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纤维喉镜检查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310902005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纤维胃十二指肠镜检查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310903005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纤维结肠镜检查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310904001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直肠镜检查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311201004</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阴道镜检查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311000034</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膀胱镜尿道镜检查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310901003</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硬性食管镜检查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310901004</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纤维食管镜检查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骨髓穿刺及细胞形态检查</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250201001.10</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骨髓涂片细胞学检验(外周血涂片疑难细胞学检验)</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250101007</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异常红细胞形态检查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骨髓有核细胞计数</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250201003</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骨髓巨核细胞计数</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250201007</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骨髓特殊染色及酶组织化学染色检查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异常白细胞形态检查</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骨髓活检病理检查</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270300004</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骨髓组织活检检查与诊断</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病理体视学检查与图象分析</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胸、腹腔穿刺</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330703017.40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胸腔闭式引流术(胸腔穿刺置管术)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330703017.50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胸腔闭式引流术(腹腔穿刺置管术)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310604005</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胸腔穿刺术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310905001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腹腔穿刺术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化疗：鞘内注射给药</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311300010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鞘内注射</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311300010.10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鞘内注射(鞘内封闭)</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化疗</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ABCJ0001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抗肿瘤化疗药物/肠外营养液集中配置</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120400013</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抗肿瘤化学药物配置</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化疗：深静脉置管、PICC、静脉输液港的置管与维护</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ABDA0001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经外周静脉置入中心静脉导管术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120400011</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中心静脉穿刺置管术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120400011.10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深静脉穿刺置管术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ABDA0001.10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深静脉穿刺置管术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highlight w:val="none"/>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highlight w:val="none"/>
                <w14:textFill>
                  <w14:solidFill>
                    <w14:schemeClr w14:val="tx1"/>
                  </w14:solidFill>
                </w14:textFill>
              </w:rPr>
            </w:pPr>
            <w:r>
              <w:rPr>
                <w:rFonts w:ascii="Times New Roman" w:hAnsi="Times New Roman" w:eastAsia="方正仿宋_GBK" w:cs="方正仿宋_GBK"/>
                <w:color w:val="000000" w:themeColor="text1"/>
                <w:kern w:val="0"/>
                <w:szCs w:val="21"/>
                <w:highlight w:val="none"/>
                <w:lang w:bidi="ar"/>
                <w14:textFill>
                  <w14:solidFill>
                    <w14:schemeClr w14:val="tx1"/>
                  </w14:solidFill>
                </w14:textFill>
              </w:rPr>
              <w:t>120100013</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highlight w:val="none"/>
                <w14:textFill>
                  <w14:solidFill>
                    <w14:schemeClr w14:val="tx1"/>
                  </w14:solidFill>
                </w14:textFill>
              </w:rPr>
            </w:pPr>
            <w:r>
              <w:rPr>
                <w:rFonts w:ascii="Times New Roman" w:hAnsi="Times New Roman" w:eastAsia="方正仿宋_GBK" w:cs="方正仿宋_GBK"/>
                <w:color w:val="000000" w:themeColor="text1"/>
                <w:kern w:val="0"/>
                <w:szCs w:val="21"/>
                <w:highlight w:val="none"/>
                <w:lang w:bidi="ar"/>
                <w14:textFill>
                  <w14:solidFill>
                    <w14:schemeClr w14:val="tx1"/>
                  </w14:solidFill>
                </w14:textFill>
              </w:rPr>
              <w:t>动静脉置管护理</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highlight w:val="none"/>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highlight w:val="none"/>
                <w14:textFill>
                  <w14:solidFill>
                    <w14:schemeClr w14:val="tx1"/>
                  </w14:solidFill>
                </w14:textFill>
              </w:rPr>
            </w:pPr>
            <w:r>
              <w:rPr>
                <w:rFonts w:ascii="Times New Roman" w:hAnsi="Times New Roman" w:eastAsia="方正仿宋_GBK" w:cs="方正仿宋_GBK"/>
                <w:color w:val="000000" w:themeColor="text1"/>
                <w:kern w:val="0"/>
                <w:szCs w:val="21"/>
                <w:highlight w:val="none"/>
                <w:lang w:bidi="ar"/>
                <w14:textFill>
                  <w14:solidFill>
                    <w14:schemeClr w14:val="tx1"/>
                  </w14:solidFill>
                </w14:textFill>
              </w:rPr>
              <w:t>ACBG0002</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highlight w:val="none"/>
                <w14:textFill>
                  <w14:solidFill>
                    <w14:schemeClr w14:val="tx1"/>
                  </w14:solidFill>
                </w14:textFill>
              </w:rPr>
            </w:pPr>
            <w:r>
              <w:rPr>
                <w:rFonts w:ascii="Times New Roman" w:hAnsi="Times New Roman" w:eastAsia="方正仿宋_GBK" w:cs="方正仿宋_GBK"/>
                <w:color w:val="000000" w:themeColor="text1"/>
                <w:kern w:val="0"/>
                <w:szCs w:val="21"/>
                <w:highlight w:val="none"/>
                <w:lang w:bidi="ar"/>
                <w14:textFill>
                  <w14:solidFill>
                    <w14:schemeClr w14:val="tx1"/>
                  </w14:solidFill>
                </w14:textFill>
              </w:rPr>
              <w:t>静脉置管护理</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1206</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换药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ABF</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换药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放射治疗</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24</w:t>
            </w:r>
          </w:p>
        </w:tc>
        <w:tc>
          <w:tcPr>
            <w:tcW w:w="3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放射治疗</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放射治疗：核素治疗</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2306</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核素内照射治疗</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LBZZX004</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核素组织间粒子置入治疗</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镇痛治疗：止痛泵(PCA)</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330100018</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镇痛泵体内置入术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330100018.10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镇痛泵体内置入术(化疗泵体内置入术)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镇痛治疗：神经阻滞术</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310100027</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神经阻滞治疗</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镇痛治疗：硬膜外麻醉</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330100010</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硬膜外连续镇痛</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肿瘤部位或手术局部治疗</w:t>
            </w: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1206</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换药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ABF</w:t>
            </w:r>
          </w:p>
        </w:tc>
        <w:tc>
          <w:tcPr>
            <w:tcW w:w="3661"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换药</w:t>
            </w:r>
          </w:p>
        </w:tc>
      </w:tr>
      <w:tr>
        <w:tblPrEx>
          <w:tblCellMar>
            <w:top w:w="0" w:type="dxa"/>
            <w:left w:w="108" w:type="dxa"/>
            <w:bottom w:w="0" w:type="dxa"/>
            <w:right w:w="108" w:type="dxa"/>
          </w:tblCellMar>
        </w:tblPrEx>
        <w:trPr>
          <w:trHeight w:val="91"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5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造口袋、造口底盘，年度累计基金支付限额为3600元</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4</w:t>
      </w:r>
      <w:r>
        <w:rPr>
          <w:rFonts w:ascii="Times New Roman" w:hAnsi="Times New Roman" w:eastAsia="黑体"/>
          <w:color w:val="000000" w:themeColor="text1"/>
          <w:sz w:val="30"/>
          <w:szCs w:val="30"/>
          <w14:textFill>
            <w14:solidFill>
              <w14:schemeClr w14:val="tx1"/>
            </w14:solidFill>
          </w14:textFill>
        </w:rPr>
        <w:t>.血友病</w:t>
      </w:r>
    </w:p>
    <w:tbl>
      <w:tblPr>
        <w:tblStyle w:val="4"/>
        <w:tblW w:w="8858" w:type="dxa"/>
        <w:tblInd w:w="93" w:type="dxa"/>
        <w:tblLayout w:type="fixed"/>
        <w:tblCellMar>
          <w:top w:w="0" w:type="dxa"/>
          <w:left w:w="108" w:type="dxa"/>
          <w:bottom w:w="0" w:type="dxa"/>
          <w:right w:w="108" w:type="dxa"/>
        </w:tblCellMar>
      </w:tblPr>
      <w:tblGrid>
        <w:gridCol w:w="801"/>
        <w:gridCol w:w="1097"/>
        <w:gridCol w:w="2145"/>
        <w:gridCol w:w="2066"/>
        <w:gridCol w:w="2749"/>
      </w:tblGrid>
      <w:tr>
        <w:tblPrEx>
          <w:tblCellMar>
            <w:top w:w="0" w:type="dxa"/>
            <w:left w:w="108" w:type="dxa"/>
            <w:bottom w:w="0" w:type="dxa"/>
            <w:right w:w="108" w:type="dxa"/>
          </w:tblCellMar>
        </w:tblPrEx>
        <w:trPr>
          <w:trHeight w:val="569"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血友病</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D66.x01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血友病A型</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D66.x02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血友病</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D66.x03+M36.2*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血友病性关节炎</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D67.x01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血友病B型</w:t>
            </w:r>
          </w:p>
        </w:tc>
      </w:tr>
      <w:tr>
        <w:tblPrEx>
          <w:tblCellMar>
            <w:top w:w="0" w:type="dxa"/>
            <w:left w:w="108" w:type="dxa"/>
            <w:bottom w:w="0" w:type="dxa"/>
            <w:right w:w="108" w:type="dxa"/>
          </w:tblCellMar>
        </w:tblPrEx>
        <w:trPr>
          <w:trHeight w:val="91"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根据病史和确诊试验</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确诊试验：确诊血友病有赖于FVIII活性(FVIII:C)、FIX活性(FIX:C)以及血管性血友病因子抗原(VWF:Ag)的测定。血友病A患者FVIII:C减低或缺乏，VWF:Ag正常，FVIII:C／VWF:Ag明显降低。血友病B患者FIX：C减低或缺乏。</w:t>
            </w:r>
          </w:p>
        </w:tc>
      </w:tr>
      <w:tr>
        <w:tblPrEx>
          <w:tblCellMar>
            <w:top w:w="0" w:type="dxa"/>
            <w:left w:w="108" w:type="dxa"/>
            <w:bottom w:w="0" w:type="dxa"/>
            <w:right w:w="108" w:type="dxa"/>
          </w:tblCellMar>
        </w:tblPrEx>
        <w:trPr>
          <w:trHeight w:val="91"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病因治疗</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血源性或/和基因重组凝血因子Ⅷ或凝血因子Ⅸ</w:t>
            </w:r>
          </w:p>
        </w:tc>
        <w:tc>
          <w:tcPr>
            <w:tcW w:w="2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2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凝血酶原复合物</w:t>
            </w:r>
          </w:p>
        </w:tc>
        <w:tc>
          <w:tcPr>
            <w:tcW w:w="2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艾美赛珠单抗等非因子制剂</w:t>
            </w:r>
          </w:p>
        </w:tc>
        <w:tc>
          <w:tcPr>
            <w:tcW w:w="2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冷沉淀</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宋体" w:cs="宋体"/>
                <w:color w:val="000000" w:themeColor="text1"/>
                <w:szCs w:val="21"/>
                <w14:textFill>
                  <w14:solidFill>
                    <w14:schemeClr w14:val="tx1"/>
                  </w14:solidFill>
                </w14:textFill>
              </w:rPr>
            </w:pPr>
            <w:r>
              <w:rPr>
                <w:rFonts w:hint="eastAsia" w:ascii="Times New Roman" w:hAnsi="Times New Roman" w:eastAsia="宋体" w:cs="宋体"/>
                <w:color w:val="000000" w:themeColor="text1"/>
                <w:kern w:val="0"/>
                <w:szCs w:val="21"/>
                <w:lang w:bidi="ar"/>
                <w14:textFill>
                  <w14:solidFill>
                    <w14:schemeClr w14:val="tx1"/>
                  </w14:solidFill>
                </w14:textFill>
              </w:rPr>
              <w:t>005101050010000</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冷沉淀凝血因子</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宋体" w:cs="宋体"/>
                <w:color w:val="000000" w:themeColor="text1"/>
                <w:szCs w:val="21"/>
                <w14:textFill>
                  <w14:solidFill>
                    <w14:schemeClr w14:val="tx1"/>
                  </w14:solidFill>
                </w14:textFill>
              </w:rPr>
            </w:pPr>
            <w:r>
              <w:rPr>
                <w:rFonts w:hint="eastAsia" w:ascii="Times New Roman" w:hAnsi="Times New Roman" w:eastAsia="宋体" w:cs="宋体"/>
                <w:color w:val="000000" w:themeColor="text1"/>
                <w:kern w:val="0"/>
                <w:szCs w:val="21"/>
                <w:lang w:bidi="ar"/>
                <w14:textFill>
                  <w14:solidFill>
                    <w14:schemeClr w14:val="tx1"/>
                  </w14:solidFill>
                </w14:textFill>
              </w:rPr>
              <w:t>005101040020000</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机采新鲜冰冻血浆</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宋体" w:cs="宋体"/>
                <w:color w:val="000000" w:themeColor="text1"/>
                <w:szCs w:val="21"/>
                <w14:textFill>
                  <w14:solidFill>
                    <w14:schemeClr w14:val="tx1"/>
                  </w14:solidFill>
                </w14:textFill>
              </w:rPr>
            </w:pPr>
            <w:r>
              <w:rPr>
                <w:rFonts w:hint="eastAsia" w:ascii="Times New Roman" w:hAnsi="Times New Roman" w:eastAsia="宋体" w:cs="宋体"/>
                <w:color w:val="000000" w:themeColor="text1"/>
                <w:kern w:val="0"/>
                <w:szCs w:val="21"/>
                <w:lang w:bidi="ar"/>
                <w14:textFill>
                  <w14:solidFill>
                    <w14:schemeClr w14:val="tx1"/>
                  </w14:solidFill>
                </w14:textFill>
              </w:rPr>
              <w:t>005101040030000</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手工分冰冻血浆</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合并抑制物时的治疗药物</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重组人凝血因子VIIa</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糖皮质激素</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环磷酰胺等免疫抑制剂</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XL01AA</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氮芥类似物</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r>
      <w:tr>
        <w:tblPrEx>
          <w:tblCellMar>
            <w:top w:w="0" w:type="dxa"/>
            <w:left w:w="108" w:type="dxa"/>
            <w:bottom w:w="0" w:type="dxa"/>
            <w:right w:w="108" w:type="dxa"/>
          </w:tblCellMar>
        </w:tblPrEx>
        <w:trPr>
          <w:trHeight w:val="91"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网织红细胞计数(Ret)</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粪便常规及隐血</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250103001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粪便常规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250103002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隐血试验</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凝血象</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APTT纠正试验</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凝血酶原时间纠正试验</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250203023</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凝血酶原消耗及纠正试验</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250203078</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简易凝血活酶纠正试验</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凝血因子活性</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250203031及250203031.XX</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血浆凝血因子活性测定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VWF抗原</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250203008</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血管性假性血友病因子(VWF)抗原测定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血小板聚集功能</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250203011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血小板聚集功能测定(PAgT)</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抑制物浓度检测</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血浆因子Ⅷ抑制物定性测定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250203033</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血浆因子Ⅷ抑制物定量测定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腹部、关节及出血部位超声</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彩色多普勒超声检查</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X线（骨骼、心、肺、关节）</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输血前相关检验</w:t>
            </w: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肝炎标志物 </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250403008</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乙型肝炎核心抗原测定(HBcAg)</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A250403086</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丙型肝炎抗原测定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250403014</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丙型肝炎抗体测定(Anti-HCV)</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HIV筛查</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250403019a</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人免疫缺陷病毒抗体测定(Anti-HIV)</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250403053</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梅毒螺旋体特异抗体测定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250403054</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快速血浆反应素试验(RPR)</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不加热血清反应素试验</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血型鉴定</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260000002 </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ABO血型鉴定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260000004</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Rh血型鉴定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260000005</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Rh血型其他抗原鉴定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交叉配血</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260000012  </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特殊介质交叉配血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260000013及260000013.XX</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疑难交叉配血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nil"/>
              <w:left w:val="nil"/>
              <w:bottom w:val="nil"/>
              <w:right w:val="nil"/>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502600005900000</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不规则(意外)抗体检测</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血友病性关节病相关检验检查及治疗</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250301008</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CT增强（腹部）</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EBBQT001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上腹部X线计算机体层(CT)增强扫描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EBBQT002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下腹部X线计算机体层(CT)增强扫描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磁共振平扫或增强（关节）</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ECAWG001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肩关节磁共振成像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ECAWJ001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肘关节磁共振成像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ECAXC001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骶髂关节磁共振成像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ECAXD001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双髋关节磁共振成像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ECAXJ001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膝关节磁共振成像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ECAXZ001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踝关节磁共振成像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ECBWF001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上臂磁共振增强成像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ECBWG001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肩关节磁共振增强成像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ECBWL001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前臂磁共振增强成像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ECBXF001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大腿磁共振增强成像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ECBXN001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小腿磁共振增强成像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ECBXZ001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踝关节磁共振增强成像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210200002</w:t>
            </w:r>
          </w:p>
        </w:tc>
        <w:tc>
          <w:tcPr>
            <w:tcW w:w="2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磁共振增强扫描</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6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血友病性关节病相关的康复理疗项目</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5</w:t>
      </w:r>
      <w:r>
        <w:rPr>
          <w:rFonts w:ascii="Times New Roman" w:hAnsi="Times New Roman" w:eastAsia="黑体"/>
          <w:color w:val="000000" w:themeColor="text1"/>
          <w:sz w:val="30"/>
          <w:szCs w:val="30"/>
          <w14:textFill>
            <w14:solidFill>
              <w14:schemeClr w14:val="tx1"/>
            </w14:solidFill>
          </w14:textFill>
        </w:rPr>
        <w:t>.再生障碍性贫血</w:t>
      </w:r>
    </w:p>
    <w:tbl>
      <w:tblPr>
        <w:tblStyle w:val="4"/>
        <w:tblW w:w="8691" w:type="dxa"/>
        <w:tblInd w:w="93" w:type="dxa"/>
        <w:tblLayout w:type="fixed"/>
        <w:tblCellMar>
          <w:top w:w="0" w:type="dxa"/>
          <w:left w:w="108" w:type="dxa"/>
          <w:bottom w:w="0" w:type="dxa"/>
          <w:right w:w="108" w:type="dxa"/>
        </w:tblCellMar>
      </w:tblPr>
      <w:tblGrid>
        <w:gridCol w:w="801"/>
        <w:gridCol w:w="797"/>
        <w:gridCol w:w="1365"/>
        <w:gridCol w:w="2430"/>
        <w:gridCol w:w="3298"/>
      </w:tblGrid>
      <w:tr>
        <w:tblPrEx>
          <w:tblCellMar>
            <w:top w:w="0" w:type="dxa"/>
            <w:left w:w="108" w:type="dxa"/>
            <w:bottom w:w="0" w:type="dxa"/>
            <w:right w:w="108" w:type="dxa"/>
          </w:tblCellMar>
        </w:tblPrEx>
        <w:trPr>
          <w:trHeight w:val="453"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再生障碍性贫血</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D59.501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阵发性夜间性血红蛋白尿伴再生障碍性贫血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D60.000x001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慢性后天性纯红细胞再生障碍性贫血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D60.900x001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纯红细胞再生障碍性贫血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D61.000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体质性再生障碍性贫血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先天性纯红细胞再生障碍性贫血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D61.002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婴儿纯红细胞再生障碍性贫血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D61.003</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原发性纯红细胞再生障碍性贫血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D61.006</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先天性再生障碍性贫血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D61.100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D61.200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再生障碍性贫血，其他外因引起的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D61.200x002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外因性再生障碍性贫血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D61.300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特发性再生障碍性贫血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D61.800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再生障碍性贫血，其他特指的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D61.800x002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肝炎相关重型再生障碍性贫血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D61.801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肝炎后再生障碍性贫血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D61.802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D61.900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D61.902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D61.905</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D61.909</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急性再生障碍性贫血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O99.003</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妊娠合并再生障碍性贫血</w:t>
            </w:r>
          </w:p>
        </w:tc>
      </w:tr>
      <w:tr>
        <w:tblPrEx>
          <w:tblCellMar>
            <w:top w:w="0" w:type="dxa"/>
            <w:left w:w="108" w:type="dxa"/>
            <w:bottom w:w="0" w:type="dxa"/>
            <w:right w:w="108" w:type="dxa"/>
          </w:tblCellMar>
        </w:tblPrEx>
        <w:trPr>
          <w:trHeight w:val="91"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符合以下三条：</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一、一系及以上血细胞减少。</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二、骨髓涂片至少1个部位增生减低或重度减低（如增生活跃，须有巨核细胞明显减少）或骨髓活检检查显示造血组织减少，脂肪组织增加等。（如若考虑纯红细胞再生障碍性贫血，需要有红系增生减低）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三、能除外其它引起血细胞减少的疾病。如阵发性睡眠性血红蛋白尿症、骨髓增生异常综合症中的难治性贫血、急性造血功能停滞、骨髓纤维化、急性白血病、恶性组织细胞病等。</w:t>
            </w:r>
          </w:p>
        </w:tc>
      </w:tr>
      <w:tr>
        <w:tblPrEx>
          <w:tblCellMar>
            <w:top w:w="0" w:type="dxa"/>
            <w:left w:w="108" w:type="dxa"/>
            <w:bottom w:w="0" w:type="dxa"/>
            <w:right w:w="108" w:type="dxa"/>
          </w:tblCellMar>
        </w:tblPrEx>
        <w:trPr>
          <w:trHeight w:val="91"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2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钙神经素抑制剂</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XL04AD</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钙调磷酸酶抑制剂</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雄性激素</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XG03A</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全身用激素类避孕药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抗胸腺细胞球蛋白</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XL04AA</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选择性免疫抑制剂</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粒细胞集落刺激因子</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XL03AA</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集落刺激因子</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重组人促红素注射液等促造血药物</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TPO-RA类药物</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血液制品</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005101010030000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悬浮红细胞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005101010070000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Rh阴性悬浮红细胞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005101010010000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浓缩红细胞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005101010040000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洗涤红细胞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005101010060000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冰冻解冻去甘油Rh阴性红细胞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005101010060000</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冰冻解冻去甘油红细胞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抗感染药品（限二、三代头孢、青霉素及喹诺酮类）</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全身用抗感染药</w:t>
            </w:r>
          </w:p>
        </w:tc>
      </w:tr>
      <w:tr>
        <w:tblPrEx>
          <w:tblCellMar>
            <w:top w:w="0" w:type="dxa"/>
            <w:left w:w="108" w:type="dxa"/>
            <w:bottom w:w="0" w:type="dxa"/>
            <w:right w:w="108" w:type="dxa"/>
          </w:tblCellMar>
        </w:tblPrEx>
        <w:trPr>
          <w:trHeight w:val="91"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2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输血前相关检验</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肝炎标志物 </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250403008</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乙型肝炎核心抗原测定(HBcAg)</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A250403086</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丙型肝炎抗原测定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250403014</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丙型肝炎抗体测定(Anti-HCV)</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HIV筛查</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250403019a</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人免疫缺陷病毒抗体测定(Anti-HIV)</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250403053</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梅毒螺旋体特异抗体测定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250403054</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快速血浆反应素试验(RPR)</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250403055</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不加热血清反应素试验</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血型鉴定</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260000002 </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ABO血型鉴定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260000004</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Rh血型鉴定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260000005</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Rh血型其他抗原鉴定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交叉配血</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260000012  </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特殊介质交叉配血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260000013及260000013.XX</w:t>
            </w:r>
          </w:p>
        </w:tc>
        <w:tc>
          <w:tcPr>
            <w:tcW w:w="329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疑难交叉配血</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502600005900000</w:t>
            </w:r>
          </w:p>
        </w:tc>
        <w:tc>
          <w:tcPr>
            <w:tcW w:w="32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不规则(意外)抗体检测</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43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29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250101005</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网织红细胞计数(Ret)</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骨髓细胞形态学</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250201007</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骨髓特殊染色及酶组织化学染色检查</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270300004</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骨髓组织活检检查与诊断</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250301008</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环孢素血药浓度</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CT平扫（限高度怀疑肺部感染时)</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6</w:t>
      </w:r>
      <w:r>
        <w:rPr>
          <w:rFonts w:ascii="Times New Roman" w:hAnsi="Times New Roman" w:eastAsia="黑体"/>
          <w:color w:val="000000" w:themeColor="text1"/>
          <w:sz w:val="30"/>
          <w:szCs w:val="30"/>
          <w14:textFill>
            <w14:solidFill>
              <w14:schemeClr w14:val="tx1"/>
            </w14:solidFill>
          </w14:textFill>
        </w:rPr>
        <w:t>.地中海贫血（中、重型）</w:t>
      </w:r>
    </w:p>
    <w:tbl>
      <w:tblPr>
        <w:tblStyle w:val="4"/>
        <w:tblW w:w="8691" w:type="dxa"/>
        <w:tblInd w:w="93" w:type="dxa"/>
        <w:tblLayout w:type="autofit"/>
        <w:tblCellMar>
          <w:top w:w="0" w:type="dxa"/>
          <w:left w:w="108" w:type="dxa"/>
          <w:bottom w:w="0" w:type="dxa"/>
          <w:right w:w="108" w:type="dxa"/>
        </w:tblCellMar>
      </w:tblPr>
      <w:tblGrid>
        <w:gridCol w:w="741"/>
        <w:gridCol w:w="1255"/>
        <w:gridCol w:w="1656"/>
        <w:gridCol w:w="2070"/>
        <w:gridCol w:w="2969"/>
      </w:tblGrid>
      <w:tr>
        <w:tblPrEx>
          <w:tblCellMar>
            <w:top w:w="0" w:type="dxa"/>
            <w:left w:w="108" w:type="dxa"/>
            <w:bottom w:w="0" w:type="dxa"/>
            <w:right w:w="108" w:type="dxa"/>
          </w:tblCellMar>
        </w:tblPrEx>
        <w:trPr>
          <w:trHeight w:val="455"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地中海贫血（中、重型）</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D56.000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D56.100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D56.100x003</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重型β型地中海贫血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D56.101</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中间型地中海贫血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D56.102</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D56.200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δ-β型地中海贫血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D56.300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地中海贫血特性</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D56.800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地中海贫血，其他的</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D56.900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D56.901</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D56.900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D57.200x001</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双杂合镰状细胞β型地中海贫血</w:t>
            </w:r>
          </w:p>
        </w:tc>
      </w:tr>
      <w:tr>
        <w:tblPrEx>
          <w:tblCellMar>
            <w:top w:w="0" w:type="dxa"/>
            <w:left w:w="108" w:type="dxa"/>
            <w:bottom w:w="0" w:type="dxa"/>
            <w:right w:w="108" w:type="dxa"/>
          </w:tblCellMar>
        </w:tblPrEx>
        <w:trPr>
          <w:trHeight w:val="9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O99.004</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妊娠合并地中海贫血</w:t>
            </w:r>
          </w:p>
        </w:tc>
      </w:tr>
      <w:tr>
        <w:tblPrEx>
          <w:tblCellMar>
            <w:top w:w="0" w:type="dxa"/>
            <w:left w:w="108" w:type="dxa"/>
            <w:bottom w:w="0" w:type="dxa"/>
            <w:right w:w="108" w:type="dxa"/>
          </w:tblCellMar>
        </w:tblPrEx>
        <w:trPr>
          <w:trHeight w:val="91" w:hRule="atLeast"/>
        </w:trPr>
        <w:tc>
          <w:tcPr>
            <w:tcW w:w="741"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val="en-US" w:eastAsia="zh-CN" w:bidi="ar"/>
                <w14:textFill>
                  <w14:solidFill>
                    <w14:schemeClr w14:val="tx1"/>
                  </w14:solidFill>
                </w14:textFill>
              </w:rPr>
              <w:t>一、</w:t>
            </w:r>
            <w:r>
              <w:rPr>
                <w:rFonts w:ascii="Times New Roman" w:hAnsi="Times New Roman" w:eastAsia="方正仿宋_GBK" w:cs="方正仿宋_GBK"/>
                <w:color w:val="000000" w:themeColor="text1"/>
                <w:kern w:val="0"/>
                <w:szCs w:val="21"/>
                <w:lang w:bidi="ar"/>
                <w14:textFill>
                  <w14:solidFill>
                    <w14:schemeClr w14:val="tx1"/>
                  </w14:solidFill>
                </w14:textFill>
              </w:rPr>
              <w:t>重型β地中海贫血诊断标准：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（一）临床表现：典型的临床特征（贫血、黄染、肝脾肿大等）；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（二）血液学改变：外周血血红蛋白（Hb）&lt;60 g/L，呈小细胞低色素性贫血；</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（三）地贫相关基因检测证实为β地贫基因纯合或复合杂合者。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二、中间型β地中海贫血诊断标准：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（一）临床表现：较重型稍轻，起病稍晚；</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（二）血液学检查：中度贫血Hb60-90g/L，外周血涂片红细胞形态与重型相似；</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（三）地贫相关基因检测类型可为：β+/β+、β0/β+、β地贫非典型杂合子等。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三</w:t>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、中间型α地中海贫血（HbH病）诊断标准：                                                      </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（一）临床表型：大多在婴儿期以后逐渐出现贫血、疲乏无力、肝脾大、轻度黄疸；年龄较大患者可出现类似重型β地贫的特殊面容。                                                           </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（二）血液学检查：外周血象和骨髓象的改变类似重型β地贫。                                </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（三）α0和α+地贫的杂合子状态，4个α珠蛋白基因有3个缺失或缺陷。</w:t>
            </w:r>
          </w:p>
          <w:p>
            <w:pPr>
              <w:widowControl/>
              <w:numPr>
                <w:ilvl w:val="0"/>
                <w:numId w:val="0"/>
              </w:numPr>
              <w:spacing w:line="340" w:lineRule="exact"/>
              <w:ind w:left="420" w:hanging="420" w:hangingChars="200"/>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t>四</w:t>
            </w:r>
            <w:r>
              <w:rPr>
                <w:rFonts w:ascii="Times New Roman" w:hAnsi="Times New Roman" w:eastAsia="方正仿宋_GBK" w:cs="方正仿宋_GBK"/>
                <w:color w:val="000000" w:themeColor="text1"/>
                <w:kern w:val="0"/>
                <w:szCs w:val="21"/>
                <w:lang w:bidi="ar"/>
                <w14:textFill>
                  <w14:solidFill>
                    <w14:schemeClr w14:val="tx1"/>
                  </w14:solidFill>
                </w14:textFill>
              </w:rPr>
              <w:t>、铁过载诊断或去铁治疗指征：</w:t>
            </w:r>
          </w:p>
          <w:p>
            <w:pPr>
              <w:widowControl/>
              <w:numPr>
                <w:ilvl w:val="0"/>
                <w:numId w:val="0"/>
              </w:numPr>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血清铁蛋白&gt;800μg/L或肝铁LIC ≥5mg Fe/g干重。</w:t>
            </w:r>
          </w:p>
        </w:tc>
      </w:tr>
      <w:tr>
        <w:tblPrEx>
          <w:tblCellMar>
            <w:top w:w="0" w:type="dxa"/>
            <w:left w:w="108" w:type="dxa"/>
            <w:bottom w:w="0" w:type="dxa"/>
            <w:right w:w="108" w:type="dxa"/>
          </w:tblCellMar>
        </w:tblPrEx>
        <w:trPr>
          <w:trHeight w:val="91" w:hRule="atLeast"/>
        </w:trPr>
        <w:tc>
          <w:tcPr>
            <w:tcW w:w="7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浓缩红细胞</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005101010010000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浓缩红细胞</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红细胞悬液</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005101010030000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悬浮红细胞</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005101010070000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Rh阴性悬浮红细胞</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洗涤红细胞（必要时）</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005101010040000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洗涤红细胞</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tcBorders>
              <w:top w:val="single" w:color="000000" w:sz="4" w:space="0"/>
              <w:left w:val="single" w:color="auto"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去铁胺（DFO），地拉罗司（DFX， ICL670），去铁酮（DFP， L1）</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XV03AC</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铁螯合剂</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11" w:type="dxa"/>
            <w:gridSpan w:val="2"/>
            <w:tcBorders>
              <w:top w:val="single" w:color="000000" w:sz="4" w:space="0"/>
              <w:left w:val="single" w:color="auto"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罗特西普</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XB03X</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其他抗贫血制剂</w:t>
            </w:r>
          </w:p>
        </w:tc>
      </w:tr>
      <w:tr>
        <w:tblPrEx>
          <w:tblCellMar>
            <w:top w:w="0" w:type="dxa"/>
            <w:left w:w="108" w:type="dxa"/>
            <w:bottom w:w="0" w:type="dxa"/>
            <w:right w:w="108" w:type="dxa"/>
          </w:tblCellMar>
        </w:tblPrEx>
        <w:trPr>
          <w:trHeight w:val="91" w:hRule="atLeast"/>
        </w:trPr>
        <w:tc>
          <w:tcPr>
            <w:tcW w:w="7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ascii="Times New Roman" w:hAnsi="Times New Roman" w:eastAsia="方正黑体_GBK" w:cs="方正黑体_GBK"/>
                <w:color w:val="000000" w:themeColor="text1"/>
                <w:kern w:val="0"/>
                <w:szCs w:val="21"/>
                <w:lang w:bidi="ar"/>
                <w14:textFill>
                  <w14:solidFill>
                    <w14:schemeClr w14:val="tx1"/>
                  </w14:solidFill>
                </w14:textFill>
              </w:rPr>
            </w:pPr>
          </w:p>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11"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70"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7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网织红细胞计数(Ret)</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250307001.00 </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输血前相关检验</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肝炎标志物 </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250403008</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乙型肝炎核心抗原测定(HBcAg)</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A250403086</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丙型肝炎抗原测定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250403014</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丙型肝炎抗体测定(Anti-HCV)</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HIV筛查</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250403019a</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人免疫缺陷病毒抗体测定(Anti-HIV)</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250403053</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梅毒螺旋体特异抗体测定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250403054</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快速血浆反应素试验(RPR)</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不加热血清反应素试验</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血型鉴定</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260000002 </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ABO血型鉴定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260000004</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Rh血型鉴定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260000005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Rh血型其他抗原鉴定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交叉配血</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260000012  </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特殊介质交叉配血</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260000013及260000013.XX</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疑难交叉配血</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0" w:type="auto"/>
            <w:tcBorders>
              <w:top w:val="nil"/>
              <w:left w:val="nil"/>
              <w:bottom w:val="nil"/>
              <w:right w:val="nil"/>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502600005900000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不规则(意外)抗体检测</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血清铁蛋白定量</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250301008</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心肌酶谱</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250306002</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血清肌酸激酶－MB同工酶活性测定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血清肌红蛋白测定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肌钙蛋白</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250306008</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血清肌钙蛋白T测定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250306009</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血清肌钙蛋白Ⅰ测定</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腹部、心脏超声</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X线（骨骼、心、肺）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41"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7</w:t>
      </w:r>
      <w:r>
        <w:rPr>
          <w:rFonts w:ascii="Times New Roman" w:hAnsi="Times New Roman" w:eastAsia="黑体"/>
          <w:color w:val="000000" w:themeColor="text1"/>
          <w:sz w:val="30"/>
          <w:szCs w:val="30"/>
          <w14:textFill>
            <w14:solidFill>
              <w14:schemeClr w14:val="tx1"/>
            </w14:solidFill>
          </w14:textFill>
        </w:rPr>
        <w:t>.扩张型心肌病</w:t>
      </w:r>
    </w:p>
    <w:tbl>
      <w:tblPr>
        <w:tblStyle w:val="4"/>
        <w:tblW w:w="8843" w:type="dxa"/>
        <w:tblInd w:w="93" w:type="dxa"/>
        <w:tblLayout w:type="fixed"/>
        <w:tblCellMar>
          <w:top w:w="0" w:type="dxa"/>
          <w:left w:w="108" w:type="dxa"/>
          <w:bottom w:w="0" w:type="dxa"/>
          <w:right w:w="108" w:type="dxa"/>
        </w:tblCellMar>
      </w:tblPr>
      <w:tblGrid>
        <w:gridCol w:w="709"/>
        <w:gridCol w:w="2854"/>
        <w:gridCol w:w="1665"/>
        <w:gridCol w:w="3615"/>
      </w:tblGrid>
      <w:tr>
        <w:tblPrEx>
          <w:tblCellMar>
            <w:top w:w="0" w:type="dxa"/>
            <w:left w:w="108" w:type="dxa"/>
            <w:bottom w:w="0" w:type="dxa"/>
            <w:right w:w="108" w:type="dxa"/>
          </w:tblCellMar>
        </w:tblPrEx>
        <w:trPr>
          <w:trHeight w:val="566" w:hRule="atLeast"/>
        </w:trPr>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扩张型心肌病</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I42.000</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扩张型心肌病</w:t>
            </w:r>
          </w:p>
        </w:tc>
      </w:tr>
      <w:tr>
        <w:tblPrEx>
          <w:tblCellMar>
            <w:top w:w="0" w:type="dxa"/>
            <w:left w:w="108" w:type="dxa"/>
            <w:bottom w:w="0" w:type="dxa"/>
            <w:right w:w="108"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有活动耐量下降或胸闷、心悸、腹胀、纳差、下肢水肿等临床表现，伴心脏彩超提示左室扩大，左室射血分数降低；或无明显临床症状但心脏彩超提示左室扩大，左室射血分数降低。心脏彩超符合下述表现：</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一、左心室舒张末内径（LVEDD）＞5.0cm（女性）和LVEDD＞5.5cm（男性）（或大于年龄和体表面积预测值的117%，即预测值的2倍SD+5%）；</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二、左室射血分数（LVEF）＜50%；</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三、除外高血压、心脏瓣膜病、先天性心脏病或缺血性心脏病能解释的心脏扩大、射血分数降低。</w:t>
            </w:r>
          </w:p>
        </w:tc>
      </w:tr>
      <w:tr>
        <w:tblPrEx>
          <w:tblCellMar>
            <w:top w:w="0" w:type="dxa"/>
            <w:left w:w="108" w:type="dxa"/>
            <w:bottom w:w="0" w:type="dxa"/>
            <w:right w:w="108" w:type="dxa"/>
          </w:tblCellMar>
        </w:tblPrEx>
        <w:trPr>
          <w:trHeight w:val="91" w:hRule="atLeast"/>
        </w:trPr>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XC03A</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低效利尿药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XC03C</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高效利尿药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XC03D</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保钾利尿药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其他心脏疾病用药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XC01E</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其他心脏疾病用药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抗凝治疗药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抗血小板聚集药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抗心律失常药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XC01B</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Ⅰ类和Ⅲ类的抗心律失常药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用于心脏疾患的血管扩张药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XC01D</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用于心脏疾患的血管扩张药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洋地黄类药物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XC01A</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强心苷</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XC09A</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血管紧张素转换酶抑制剂的单方药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XC09B</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血管紧张素转换酶抑制剂的复方制剂</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XC09C</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血管紧张素Ⅱ拮抗剂的单方药</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XC09D</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血管紧张素Ⅱ拮抗剂的复方制剂</w:t>
            </w:r>
          </w:p>
        </w:tc>
      </w:tr>
      <w:tr>
        <w:tblPrEx>
          <w:tblCellMar>
            <w:top w:w="0" w:type="dxa"/>
            <w:left w:w="108" w:type="dxa"/>
            <w:bottom w:w="0" w:type="dxa"/>
            <w:right w:w="108" w:type="dxa"/>
          </w:tblCellMar>
        </w:tblPrEx>
        <w:trPr>
          <w:trHeight w:val="91" w:hRule="atLeast"/>
        </w:trPr>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CEHP1000</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脂蛋白a(LPa)测定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心肌酶谱</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250306001</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250306002</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血清肌酸激酶－MB同工酶活性测定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肌钙蛋白</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250306008</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血清肌钙蛋白T测定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250306009</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血清肌钙蛋白Ⅰ测定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250306010</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血清肌红蛋白测定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BNP (NT-pro BNP)</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250306013</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B型钠尿肽前体(PRO-BNP)测定</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心脏X线</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心电图（常规、动态、频谱）</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310701004</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频谱心电图</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310701007</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心电事件记录</w:t>
            </w:r>
          </w:p>
        </w:tc>
      </w:tr>
      <w:tr>
        <w:tblPrEx>
          <w:tblCellMar>
            <w:top w:w="0" w:type="dxa"/>
            <w:left w:w="108" w:type="dxa"/>
            <w:bottom w:w="0" w:type="dxa"/>
            <w:right w:w="108" w:type="dxa"/>
          </w:tblCellMar>
        </w:tblPrEx>
        <w:trPr>
          <w:trHeight w:val="9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8</w:t>
      </w:r>
      <w:r>
        <w:rPr>
          <w:rFonts w:ascii="Times New Roman" w:hAnsi="Times New Roman" w:eastAsia="黑体"/>
          <w:color w:val="000000" w:themeColor="text1"/>
          <w:sz w:val="30"/>
          <w:szCs w:val="30"/>
          <w14:textFill>
            <w14:solidFill>
              <w14:schemeClr w14:val="tx1"/>
            </w14:solidFill>
          </w14:textFill>
        </w:rPr>
        <w:t>.克山病</w:t>
      </w:r>
    </w:p>
    <w:tbl>
      <w:tblPr>
        <w:tblStyle w:val="4"/>
        <w:tblW w:w="8813" w:type="dxa"/>
        <w:tblInd w:w="93" w:type="dxa"/>
        <w:tblLayout w:type="autofit"/>
        <w:tblCellMar>
          <w:top w:w="0" w:type="dxa"/>
          <w:left w:w="108" w:type="dxa"/>
          <w:bottom w:w="0" w:type="dxa"/>
          <w:right w:w="108" w:type="dxa"/>
        </w:tblCellMar>
      </w:tblPr>
      <w:tblGrid>
        <w:gridCol w:w="699"/>
        <w:gridCol w:w="3141"/>
        <w:gridCol w:w="1988"/>
        <w:gridCol w:w="2985"/>
      </w:tblGrid>
      <w:tr>
        <w:tblPrEx>
          <w:tblCellMar>
            <w:top w:w="0" w:type="dxa"/>
            <w:left w:w="108" w:type="dxa"/>
            <w:bottom w:w="0" w:type="dxa"/>
            <w:right w:w="108" w:type="dxa"/>
          </w:tblCellMar>
        </w:tblPrEx>
        <w:trPr>
          <w:trHeight w:val="422" w:hRule="atLeast"/>
        </w:trPr>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克山病</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E59.x01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克山病</w:t>
            </w:r>
          </w:p>
        </w:tc>
      </w:tr>
      <w:tr>
        <w:tblPrEx>
          <w:tblCellMar>
            <w:top w:w="0" w:type="dxa"/>
            <w:left w:w="108" w:type="dxa"/>
            <w:bottom w:w="0" w:type="dxa"/>
            <w:right w:w="108" w:type="dxa"/>
          </w:tblCellMar>
        </w:tblPrEx>
        <w:trPr>
          <w:trHeight w:val="91"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在克山病病区连续生活六个月以上，有活动耐量下降或胸闷、心悸、腹胀、纳差、下肢水肿等临床表现，伴心脏彩超提示左室扩大，左室射血分数降低；或无明显临床症状但心脏彩超提示左室扩大，左室射血分数降低。心脏彩超符合下述表现：</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一、左心室舒张末内径（LVEDD）＞5.0cm（女性）和LVEDD＞5.5cm（男性）（或大于年龄和体表面积预测值的117%，即预测值的2倍SD+5%）；</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二、左室射血分数（LVEF）＜50%；</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三、除外高血压、心脏瓣膜病、先天性心脏病或缺血性心脏病能解释的心脏扩大、射血分数降低。</w:t>
            </w:r>
          </w:p>
        </w:tc>
      </w:tr>
      <w:tr>
        <w:tblPrEx>
          <w:tblCellMar>
            <w:top w:w="0" w:type="dxa"/>
            <w:left w:w="108" w:type="dxa"/>
            <w:bottom w:w="0" w:type="dxa"/>
            <w:right w:w="108" w:type="dxa"/>
          </w:tblCellMar>
        </w:tblPrEx>
        <w:trPr>
          <w:trHeight w:val="91" w:hRule="atLeast"/>
        </w:trPr>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XC03A</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低效利尿药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XC03C</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高效利尿药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XC03D</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保钾利尿药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其他心脏疾病用药</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XC01E</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其他心脏疾病用药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抗凝治疗药</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抗血小板聚集药</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抗心律失常药</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XC01B</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Ⅰ类和Ⅲ类的抗心律失常药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用于心脏疾患的血管扩张药</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XC01D</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用于心脏疾患的血管扩张药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XC10AA</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HMG-CoA还原酶抑制剂</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XC10AB</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贝特类</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XC10AX</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其他调节血脂药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洋地黄类药物</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XC01A</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强心苷</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XC09A</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血管紧张素转换酶抑制剂的单方药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XC09B</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血管紧张素转换酶抑制剂的复方制剂</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XC09C</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血管紧张素Ⅱ拮抗剂的单方药</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XC09D</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血管紧张素Ⅱ拮抗剂的复方制剂</w:t>
            </w:r>
          </w:p>
        </w:tc>
      </w:tr>
      <w:tr>
        <w:tblPrEx>
          <w:tblCellMar>
            <w:top w:w="0" w:type="dxa"/>
            <w:left w:w="108" w:type="dxa"/>
            <w:bottom w:w="0" w:type="dxa"/>
            <w:right w:w="108" w:type="dxa"/>
          </w:tblCellMar>
        </w:tblPrEx>
        <w:trPr>
          <w:trHeight w:val="91" w:hRule="atLeast"/>
        </w:trPr>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CEHP1000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脂蛋白a(LPa)测定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心肌酶谱</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血清肌酸激酶－MB同工酶活性测定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肌钙蛋白</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250306008</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血清肌钙蛋白T测定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250306009</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血清肌钙蛋白Ⅰ测定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血清肌红蛋白测定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BNP (NT-pro BNP)</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250306013</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B型钠尿肽前体(PRO-BNP)测定</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心脏X线</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心电图（常规、动态、频谱）</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频谱心电图</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310701007</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心电事件记录</w:t>
            </w:r>
          </w:p>
        </w:tc>
      </w:tr>
      <w:tr>
        <w:tblPrEx>
          <w:tblCellMar>
            <w:top w:w="0" w:type="dxa"/>
            <w:left w:w="108" w:type="dxa"/>
            <w:bottom w:w="0" w:type="dxa"/>
            <w:right w:w="108" w:type="dxa"/>
          </w:tblCellMar>
        </w:tblPrEx>
        <w:trPr>
          <w:trHeight w:val="91" w:hRule="atLeast"/>
        </w:trPr>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bl>
    <w:p>
      <w:pPr>
        <w:spacing w:line="340" w:lineRule="exact"/>
        <w:rPr>
          <w:rFonts w:ascii="Times New Roman" w:hAnsi="Times New Roman"/>
          <w:color w:val="000000" w:themeColor="text1"/>
          <w:sz w:val="30"/>
          <w:szCs w:val="30"/>
          <w14:textFill>
            <w14:solidFill>
              <w14:schemeClr w14:val="tx1"/>
            </w14:solidFill>
          </w14:textFill>
        </w:rPr>
      </w:pPr>
    </w:p>
    <w:p>
      <w:pPr>
        <w:spacing w:line="340" w:lineRule="exact"/>
        <w:rPr>
          <w:rFonts w:ascii="Times New Roman" w:hAnsi="Times New Roman"/>
          <w:color w:val="000000" w:themeColor="text1"/>
          <w:sz w:val="30"/>
          <w:szCs w:val="30"/>
          <w14:textFill>
            <w14:solidFill>
              <w14:schemeClr w14:val="tx1"/>
            </w14:solidFill>
          </w14:textFill>
        </w:rPr>
      </w:pPr>
    </w:p>
    <w:p>
      <w:pPr>
        <w:spacing w:line="340" w:lineRule="exact"/>
        <w:rPr>
          <w:rFonts w:ascii="Times New Roman" w:hAnsi="Times New Roman"/>
          <w:color w:val="000000" w:themeColor="text1"/>
          <w:sz w:val="30"/>
          <w:szCs w:val="30"/>
          <w14:textFill>
            <w14:solidFill>
              <w14:schemeClr w14:val="tx1"/>
            </w14:solidFill>
          </w14:textFill>
        </w:rPr>
      </w:pP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9</w:t>
      </w:r>
      <w:r>
        <w:rPr>
          <w:rFonts w:ascii="Times New Roman" w:hAnsi="Times New Roman" w:eastAsia="黑体"/>
          <w:color w:val="000000" w:themeColor="text1"/>
          <w:sz w:val="30"/>
          <w:szCs w:val="30"/>
          <w14:textFill>
            <w14:solidFill>
              <w14:schemeClr w14:val="tx1"/>
            </w14:solidFill>
          </w14:textFill>
        </w:rPr>
        <w:t>.阿尔茨海默病</w:t>
      </w:r>
    </w:p>
    <w:tbl>
      <w:tblPr>
        <w:tblStyle w:val="4"/>
        <w:tblW w:w="8858" w:type="dxa"/>
        <w:tblInd w:w="93" w:type="dxa"/>
        <w:tblLayout w:type="fixed"/>
        <w:tblCellMar>
          <w:top w:w="0" w:type="dxa"/>
          <w:left w:w="108" w:type="dxa"/>
          <w:bottom w:w="0" w:type="dxa"/>
          <w:right w:w="108" w:type="dxa"/>
        </w:tblCellMar>
      </w:tblPr>
      <w:tblGrid>
        <w:gridCol w:w="833"/>
        <w:gridCol w:w="1243"/>
        <w:gridCol w:w="1727"/>
        <w:gridCol w:w="1813"/>
        <w:gridCol w:w="3242"/>
      </w:tblGrid>
      <w:tr>
        <w:tblPrEx>
          <w:tblCellMar>
            <w:top w:w="0" w:type="dxa"/>
            <w:left w:w="108" w:type="dxa"/>
            <w:bottom w:w="0" w:type="dxa"/>
            <w:right w:w="108" w:type="dxa"/>
          </w:tblCellMar>
        </w:tblPrEx>
        <w:trPr>
          <w:trHeight w:val="524" w:hRule="atLeast"/>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G30.000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阿尔茨海默病伴有早期发病</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G30.000x002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家族性阿尔茨海默病（老年前期型）</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G30.000x003+F00.0*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阿尔茨海默病性痴呆（老年前期型）</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G30.000x004+F00.0*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家族性阿尔茨海默病性痴呆（老年前期型）</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G30.100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阿尔茨海默病伴有晚期发病</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G30.100x002+F00.1*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家族性阿尔茨海默病性痴呆（老年型）</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G30.100x003+F00.1*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阿尔茨海默病性痴呆（老年型）</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G30.800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阿尔茨海默病,其他的</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G30.800x001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阿尔茨海默病（混合型）</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G30.800x003+F00.2*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混合性痴呆</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G30.801+F00.2*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混合型阿尔茨海默病性痴呆伴幻觉妄想状态</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G30.802+F00.2*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混合型阿尔茨海默病性痴呆伴抑郁状态</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G30.900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G30.901+F00.9*</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阿尔茨海默病性痴呆</w:t>
            </w:r>
          </w:p>
        </w:tc>
      </w:tr>
      <w:tr>
        <w:tblPrEx>
          <w:tblCellMar>
            <w:top w:w="0" w:type="dxa"/>
            <w:left w:w="108" w:type="dxa"/>
            <w:bottom w:w="0" w:type="dxa"/>
            <w:right w:w="108" w:type="dxa"/>
          </w:tblCellMar>
        </w:tblPrEx>
        <w:trPr>
          <w:trHeight w:val="9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 w:val="21"/>
                <w:szCs w:val="21"/>
                <w:lang w:val="en-US" w:eastAsia="zh-CN" w:bidi="ar"/>
                <w14:textFill>
                  <w14:solidFill>
                    <w14:schemeClr w14:val="tx1"/>
                  </w14:solidFill>
                </w14:textFill>
              </w:rPr>
              <w:t>1.</w:t>
            </w:r>
            <w:r>
              <w:rPr>
                <w:rFonts w:ascii="Times New Roman" w:hAnsi="Times New Roman" w:eastAsia="方正仿宋_GBK" w:cs="方正仿宋_GBK"/>
                <w:color w:val="000000" w:themeColor="text1"/>
                <w:kern w:val="0"/>
                <w:szCs w:val="21"/>
                <w:lang w:bidi="ar"/>
                <w14:textFill>
                  <w14:solidFill>
                    <w14:schemeClr w14:val="tx1"/>
                  </w14:solidFill>
                </w14:textFill>
              </w:rPr>
              <w:t>符合《ICD—10国际疾病分类与诊断标准（第十版）-精神与行为障碍》中关于阿尔茨海默病（F00）的诊断标准。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(a)以遗忘为主的记忆性认知功能损害（或）语言功能、视空间、执行功能或者人格精神行为异常;</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(b)潜隐起病，缓慢退化，通常难以指明起病的时间，但他人会突然察觉到症状的存在。疾病进展过程中会出现明显的高台期。</w:t>
            </w:r>
          </w:p>
          <w:p>
            <w:pPr>
              <w:widowControl/>
              <w:numPr>
                <w:ilvl w:val="0"/>
                <w:numId w:val="0"/>
              </w:numPr>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(c)无临床依据或特殊检查的结果能够提示精神障碍是由其它可引起痴呆的全身性疾病或脑的疾病所致(例如，甲状腺功能低下高血钙、维生素B12缺乏、烟酸缺乏、神经梅毒、正常压力脑积水或硬膜下血肿);</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(d)缺乏突然性、卒中样发作，在疾病早期无局灶性神经系统损害的体征，如轻瘫、感觉丧失、视野缺损及运动协调不良(但这些症状会在疾病晚期出现)。</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客观认知功能检查证明有认知功能下降，简易精神量表（MMSE）得分：文盲≤17分，小学程度≤20分，中学以上文化程度≤26分。P300&gt;365ms。日常生活能力量表（ADL）检查提示一项或多项功能下降。头颅CT或MRI提示脑萎缩。</w:t>
            </w:r>
          </w:p>
          <w:p>
            <w:pPr>
              <w:widowControl/>
              <w:numPr>
                <w:ilvl w:val="0"/>
                <w:numId w:val="0"/>
              </w:numPr>
              <w:spacing w:line="340" w:lineRule="exact"/>
              <w:jc w:val="left"/>
              <w:textAlignment w:val="center"/>
              <w:rPr>
                <w:rFonts w:hint="default" w:ascii="Times New Roman" w:hAnsi="Times New Roman" w:eastAsia="方正仿宋_GBK" w:cs="方正仿宋_GBK"/>
                <w:color w:val="000000" w:themeColor="text1"/>
                <w:kern w:val="0"/>
                <w:szCs w:val="21"/>
                <w:lang w:val="en-US" w:eastAsia="zh-CN"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3.有相关病史资料。医院出具的出院记录(记载病情和治疗方案）和诊断证明（加盖医疗机构公章），或门诊诊疗记录（记载病情和治疗方案）6个月以上。</w:t>
            </w:r>
          </w:p>
        </w:tc>
      </w:tr>
      <w:tr>
        <w:tblPrEx>
          <w:tblCellMar>
            <w:top w:w="0" w:type="dxa"/>
            <w:left w:w="108" w:type="dxa"/>
            <w:bottom w:w="0" w:type="dxa"/>
            <w:right w:w="108" w:type="dxa"/>
          </w:tblCellMar>
        </w:tblPrEx>
        <w:trPr>
          <w:trHeight w:val="91" w:hRule="atLeast"/>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分类代码</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w:t>
            </w:r>
            <w:r>
              <w:rPr>
                <w:rStyle w:val="9"/>
                <w:rFonts w:hint="default" w:ascii="Times New Roman" w:hAnsi="Times New Roman"/>
                <w:color w:val="000000" w:themeColor="text1"/>
                <w:sz w:val="21"/>
                <w:szCs w:val="21"/>
                <w:lang w:bidi="ar"/>
                <w14:textFill>
                  <w14:solidFill>
                    <w14:schemeClr w14:val="tx1"/>
                  </w14:solidFill>
                </w14:textFill>
              </w:rPr>
              <w:t>名称</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延缓认知功能障碍的药物</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抗痴呆药</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XN06D</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抗痴呆药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促智精神兴奋药</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XN06B</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用于儿童注意缺陷障碍伴多动症和促智的精神兴奋药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抗精神类疾病相关药物治疗、使用抗精神病药物所致并发症的治疗及药物副反应的治疗</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精神安定药</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心境稳定剂</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抗帕金森氏病药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服务项目编码</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甲状腺功能（使用锂盐医保基金支付不超过4次/年，其余医保基金支付不超过2次/年）</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311502002</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头部CT</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X线计算机体层(CT)平扫(颅脑)</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EBABP001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头部X线计算机体层(CT)平扫</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头部MRI</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ECABA001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颅脑磁共振成像</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312"/>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0.艾滋病机会性感染</w:t>
      </w:r>
    </w:p>
    <w:tbl>
      <w:tblPr>
        <w:tblStyle w:val="4"/>
        <w:tblW w:w="8691" w:type="dxa"/>
        <w:tblInd w:w="93" w:type="dxa"/>
        <w:tblLayout w:type="autofit"/>
        <w:tblCellMar>
          <w:top w:w="0" w:type="dxa"/>
          <w:left w:w="108" w:type="dxa"/>
          <w:bottom w:w="0" w:type="dxa"/>
          <w:right w:w="108" w:type="dxa"/>
        </w:tblCellMar>
      </w:tblPr>
      <w:tblGrid>
        <w:gridCol w:w="668"/>
        <w:gridCol w:w="840"/>
        <w:gridCol w:w="2247"/>
        <w:gridCol w:w="1892"/>
        <w:gridCol w:w="3044"/>
      </w:tblGrid>
      <w:tr>
        <w:tblPrEx>
          <w:tblCellMar>
            <w:top w:w="0" w:type="dxa"/>
            <w:left w:w="108" w:type="dxa"/>
            <w:bottom w:w="0" w:type="dxa"/>
            <w:right w:w="108" w:type="dxa"/>
          </w:tblCellMar>
        </w:tblPrEx>
        <w:trPr>
          <w:trHeight w:val="9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 w:val="24"/>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艾滋病机会性感染</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B20.100x001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艾滋病伴细菌感染</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B20.200x001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艾滋病伴巨细胞病毒感染</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B20.300x001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艾滋病伴病毒感染</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B20.400x001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艾滋病伴念珠菌病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B20.500x001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艾滋病伴真菌病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B20.600x001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艾滋病伴卡氏肺孢子虫肺炎</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B20.700x001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艾滋病伴多发性感染</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B21.000x001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艾滋病伴卡波西肉瘤</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B21.100x001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艾滋病伴伯基特淋巴瘤</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B21.200x001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艾滋病伴非霍奇金淋巴瘤</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B22.000x003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艾滋病性脑炎</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B22.000x004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艾滋病性脑膜炎</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B22.000x005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艾滋病性脑膜脑炎</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B24.x01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B20.000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人类免疫缺陷病毒[HIV]病造成的分枝杆菌感染</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B20.800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人类免疫缺陷病毒[HIV]病造成的其他传染病和寄生虫病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B20.900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人类免疫缺陷病毒[HIV]病造成的传染病和寄生虫病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B21.300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人类免疫缺陷病毒[HIV]病造成的淋巴造血和有关组织的其他恶性肿瘤</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B21.700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人类免疫缺陷病毒[HIV]病造成的多发性恶性肿瘤</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B21.800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人类免疫缺陷病毒[HIV]病造成的其他恶性肿瘤</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B21.900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人类免疫缺陷病毒[HIV]病造成的恶性肿瘤</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B22.000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人类免疫缺陷病毒[HIV]病造成的脑病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B22.100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人类免疫缺陷病毒[HIV]病造成的淋巴组织间质性肺炎</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B22.200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人类免疫缺陷病毒[HIV]病造成的消瘦综合征</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B22.700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人类免疫缺陷病毒[HIV]病造成的分类于他处的多种疾病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B23.100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人类免疫缺陷病毒[HIV]病造成的（持续的）全身性淋巴结病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B23.100x002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HIV感染的不典型皮肤淋巴细胞增生性疾病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Z21.x00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无症状的人类免疫缺陷病毒[HIV]感染状态</w:t>
            </w:r>
          </w:p>
        </w:tc>
      </w:tr>
      <w:tr>
        <w:tblPrEx>
          <w:tblCellMar>
            <w:top w:w="0" w:type="dxa"/>
            <w:left w:w="108" w:type="dxa"/>
            <w:bottom w:w="0" w:type="dxa"/>
            <w:right w:w="108" w:type="dxa"/>
          </w:tblCellMar>
        </w:tblPrEx>
        <w:trPr>
          <w:trHeight w:val="9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楷体_GBK" w:cs="方正楷体_GBK"/>
                <w:b/>
                <w:bCs/>
                <w:color w:val="000000" w:themeColor="text1"/>
                <w:szCs w:val="21"/>
                <w14:textFill>
                  <w14:solidFill>
                    <w14:schemeClr w14:val="tx1"/>
                  </w14:solidFill>
                </w14:textFill>
              </w:rPr>
            </w:pPr>
            <w:r>
              <w:rPr>
                <w:rStyle w:val="10"/>
                <w:rFonts w:ascii="Times New Roman" w:hAnsi="Times New Roman"/>
                <w:color w:val="000000" w:themeColor="text1"/>
                <w:sz w:val="21"/>
                <w:szCs w:val="21"/>
                <w:lang w:bidi="ar"/>
                <w14:textFill>
                  <w14:solidFill>
                    <w14:schemeClr w14:val="tx1"/>
                  </w14:solidFill>
                </w14:textFill>
              </w:rPr>
              <w:t>诊断为HIV感染，符合下列一项者即可纳入：</w:t>
            </w:r>
            <w:r>
              <w:rPr>
                <w:rStyle w:val="10"/>
                <w:rFonts w:ascii="Times New Roman" w:hAnsi="Times New Roman"/>
                <w:color w:val="000000" w:themeColor="text1"/>
                <w:sz w:val="21"/>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（一）CD4小于200个/ul或者合并各种机会性感染及肿瘤；</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（二）CD4大于200个/ul合并结核感染；</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（三）其他：HIV相关性肾病、活动性乙型肝炎、活动性丙型肝炎、特发性血小板减少症。</w:t>
            </w:r>
          </w:p>
        </w:tc>
      </w:tr>
      <w:tr>
        <w:tblPrEx>
          <w:tblCellMar>
            <w:top w:w="0" w:type="dxa"/>
            <w:left w:w="108" w:type="dxa"/>
            <w:bottom w:w="0" w:type="dxa"/>
            <w:right w:w="108" w:type="dxa"/>
          </w:tblCellMar>
        </w:tblPrEx>
        <w:trPr>
          <w:trHeight w:val="90" w:hRule="atLeast"/>
        </w:trPr>
        <w:tc>
          <w:tcPr>
            <w:tcW w:w="6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92"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0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病原治疗</w:t>
            </w:r>
          </w:p>
        </w:tc>
        <w:tc>
          <w:tcPr>
            <w:tcW w:w="224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抗HIV药物</w:t>
            </w: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XJ05AF</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核苷及核苷酸逆转录酶抑制剂</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XJ05AG</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非核苷逆转录酶抑制剂</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XJ05AR</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艾滋病毒感染的抗病毒药物</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抗分枝杆菌药物（包括结核分枝杆菌及非结核分枝杆菌）</w:t>
            </w: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抗分枝杆菌药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XJ01M</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喹诺酮类抗菌药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XJ01G</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氨基糖苷类抗菌药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XJ01F</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大环内酯类，林可胺类和链阳菌素类</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抗真菌药物</w:t>
            </w: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XJ02A</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全身用抗真菌药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抗细菌药物</w:t>
            </w: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全身用抗菌药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抗病毒药物</w:t>
            </w: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XJ05AB</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核苷和核苷酸类，逆转录酶抑制剂除外</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XJ05AP</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用于治疗HCV感染的抗病毒药物</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XJ05AF</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核苷及核苷酸逆转录酶抑制剂</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抗寄生虫药物</w:t>
            </w: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XP</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抗寄生虫药，杀虫药和驱虫药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对症治疗</w:t>
            </w:r>
          </w:p>
        </w:tc>
        <w:tc>
          <w:tcPr>
            <w:tcW w:w="22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由于抗HIV药物以及抗机会性药物副作用所导致的肝、肾功能异常，出现消化系统、血液系统、神经系统、心血管系统、内分泌系统、皮肤等损害的相关治疗。</w:t>
            </w: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抗血栓形成药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r>
      <w:tr>
        <w:tblPrEx>
          <w:tblCellMar>
            <w:top w:w="0" w:type="dxa"/>
            <w:left w:w="108" w:type="dxa"/>
            <w:bottom w:w="0" w:type="dxa"/>
            <w:right w:w="108" w:type="dxa"/>
          </w:tblCellMar>
        </w:tblPrEx>
        <w:trPr>
          <w:trHeight w:val="90" w:hRule="atLeast"/>
        </w:trPr>
        <w:tc>
          <w:tcPr>
            <w:tcW w:w="66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84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4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治疗骨病的药物</w:t>
            </w:r>
          </w:p>
        </w:tc>
      </w:tr>
      <w:tr>
        <w:tblPrEx>
          <w:tblCellMar>
            <w:top w:w="0" w:type="dxa"/>
            <w:left w:w="108" w:type="dxa"/>
            <w:bottom w:w="0" w:type="dxa"/>
            <w:right w:w="108" w:type="dxa"/>
          </w:tblCellMar>
        </w:tblPrEx>
        <w:trPr>
          <w:trHeight w:val="90" w:hRule="atLeast"/>
        </w:trPr>
        <w:tc>
          <w:tcPr>
            <w:tcW w:w="668"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087" w:type="dxa"/>
            <w:gridSpan w:val="2"/>
            <w:tcBorders>
              <w:top w:val="single" w:color="auto"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服务项目编码</w:t>
            </w:r>
          </w:p>
        </w:tc>
        <w:tc>
          <w:tcPr>
            <w:tcW w:w="30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尿沉渣</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250102024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尿沉渣定量</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250307009</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250307028</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血清胱抑素(CystatinC)测定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3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血清碳酸氢盐测定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both"/>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淀粉酶</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250308004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淀粉酶测定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心肌酶谱</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250306007</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血清α羟基丁酸脱氢酶测定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血清肌酸激酶－MB同工酶活性测定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HIV相关检测</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人体免疫缺陷(HIV)病毒载量检测</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A250401036</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淋巴细胞CD4/CD8绝对数检测</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250700016</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化学药物用药指导的基因检测</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合并其他共感染的病原体相关检查</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梅毒螺旋体特异抗体测定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250403054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快速血浆反应素试验(RPR)</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250403094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真菌抗体和抗原测定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250501040</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真菌D-葡聚糖检测</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乙型肝炎DNA测定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丙型肝炎抗体测定(Anti-HCV)</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丙型肝炎RNA测定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结核菌涂片检查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280000001q</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结核感染T细胞检测</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250501013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结核菌培养</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250502004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结核菌药敏试验</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250403042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细菌抗体测定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结核分枝杆菌直接检测(MTD)</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250401014</w:t>
            </w:r>
          </w:p>
        </w:tc>
        <w:tc>
          <w:tcPr>
            <w:tcW w:w="3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各种白介素测定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根据感染部位不同选择影像学检查、骨密度或超声检查</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w:t>
            </w:r>
          </w:p>
        </w:tc>
        <w:tc>
          <w:tcPr>
            <w:tcW w:w="3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磁共振扫描(MRI)</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X线计算机体层(CT)扫描</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nil"/>
              <w:left w:val="nil"/>
              <w:bottom w:val="nil"/>
              <w:right w:val="nil"/>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w:t>
            </w:r>
          </w:p>
        </w:tc>
        <w:tc>
          <w:tcPr>
            <w:tcW w:w="3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普通彩色多普勒超声检查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胸腔，腹腔，骨髓，腰椎穿刺术等</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310604005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胸腔穿刺术</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310905001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腹腔穿刺术</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骨髓穿刺术</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310100016</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腰椎穿刺术</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内镜（纤支镜、胃肠镜、膀胱镜等）下检查及治疗。</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310605006</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经纤支镜肺泡灌洗诊疗术</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310605007</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经纤支镜防污染采样刷检查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310605002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纤维支气管镜检查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310903005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纤维结肠镜检查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消化内镜检查冲洗术</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310902005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纤维胃十二指肠镜检查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311000034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膀胱镜尿道镜检查</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311000035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经膀胱镜尿道镜特殊治疗</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restart"/>
            <w:tcBorders>
              <w:top w:val="nil"/>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皮肤黏膜赘生物去除治疗（液氮冷冻、高频电刀、激光等）</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311400039</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液氮冷冻治疗</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nil"/>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311400032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脉冲激光治疗</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vMerge w:val="continue"/>
            <w:tcBorders>
              <w:top w:val="nil"/>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311400014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皮肤赘生物电烧治疗</w:t>
            </w:r>
          </w:p>
        </w:tc>
      </w:tr>
      <w:tr>
        <w:tblPrEx>
          <w:tblCellMar>
            <w:top w:w="0" w:type="dxa"/>
            <w:left w:w="108" w:type="dxa"/>
            <w:bottom w:w="0" w:type="dxa"/>
            <w:right w:w="108" w:type="dxa"/>
          </w:tblCellMar>
        </w:tblPrEx>
        <w:trPr>
          <w:trHeight w:val="9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病变组织活检</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311400003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皮肤活检术</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耐药结核病</w:t>
      </w:r>
    </w:p>
    <w:tbl>
      <w:tblPr>
        <w:tblStyle w:val="4"/>
        <w:tblW w:w="8691" w:type="dxa"/>
        <w:tblInd w:w="93" w:type="dxa"/>
        <w:tblLayout w:type="autofit"/>
        <w:tblCellMar>
          <w:top w:w="0" w:type="dxa"/>
          <w:left w:w="108" w:type="dxa"/>
          <w:bottom w:w="0" w:type="dxa"/>
          <w:right w:w="108" w:type="dxa"/>
        </w:tblCellMar>
      </w:tblPr>
      <w:tblGrid>
        <w:gridCol w:w="756"/>
        <w:gridCol w:w="3016"/>
        <w:gridCol w:w="1942"/>
        <w:gridCol w:w="2977"/>
      </w:tblGrid>
      <w:tr>
        <w:tblPrEx>
          <w:tblCellMar>
            <w:top w:w="0" w:type="dxa"/>
            <w:left w:w="108" w:type="dxa"/>
            <w:bottom w:w="0" w:type="dxa"/>
            <w:right w:w="108" w:type="dxa"/>
          </w:tblCellMar>
        </w:tblPrEx>
        <w:trPr>
          <w:trHeight w:val="472"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 w:val="24"/>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耐药结核病</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A15.000x010</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继发性肺结核（初治,单耐药）涂阳培阳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A15.100x002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继发性肺结核（初治,单耐药）涂阴培阳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A15.000x012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继发性肺结核（初治,多耐药）涂阳培阳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A15.100x003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继发性肺结核（初治,多耐药）涂阴培阳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A15.000x014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继发性肺结核（初治,广泛耐药）涂阳培阳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A15.100x004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继发性肺结核（初治,广泛耐药）涂阴培阳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A15.000x020</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继发性肺结核（复治,单耐药）涂阳培阳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A15.100x007</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继发性肺结核（复治,单耐药）涂阴培阳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A15.000x022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继发性肺结核（复治,多耐药）涂阳培阳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A15.100x008</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继发性肺结核（复治,多耐药）涂阴培阳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A15.000x024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继发性肺结核（复治,广泛耐药）涂阳培阳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A15.100x009</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继发性肺结核（复治,广泛耐药）涂阴培阳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A15.500x010</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支气管结核（初治,单耐药）涂阳培阳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A15.500x011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支气管结核（初治,单耐药）涂阴培阳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A15.500x012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支气管结核（初治,多耐药）涂阳培阳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A15.500x013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支气管结核（初治,多耐药）涂阴培阳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A15.500x014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支气管结核（初治,广泛耐药）涂阳培阳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A15.500x015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支气管结核（初治,广泛耐药）涂阴培阳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A15.500x020</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支气管结核（复治,单耐药）涂阳培阳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A15.500x021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支气管结核（复治,单耐药）涂阴培阳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A15.500x022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支气管结核（复治,多耐药）涂阳培阳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A15.500x023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支气管结核（复治,多耐药）涂阴培阳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A15.500x024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支气管结核（复治,广泛耐药）涂阳培阳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A15.500x025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支气管结核（复治,广泛耐药）涂阴培阳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血行播散性肺结核（初治,单耐药）涂阳培阳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血行播散性肺结核（初治,单耐药）涂阴培阳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A19.000x003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血行播散性肺结核（初治,多耐药）涂阳培阳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A19.000x004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血行播散性肺结核（初治,多耐药）涂阴培阳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A19.000x005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血行播散性肺结核（初治,广泛耐药）涂阳培阳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A19.000x006</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血行播散性肺结核（初治,广泛耐药）涂阴培阳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A19.000x011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血行播散性肺结核（复治,单耐药）涂阳培阳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A19.000x012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血行播散性肺结核（复治,单耐药）涂阴培阳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A19.000x013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血行播散性肺结核（复治,多耐药）涂阳培阳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A19.000x014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血行播散性肺结核（复治,多耐药）涂阴培阳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A19.000x015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血行播散性肺结核（复治,广泛耐药）涂阳培阳</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A19.000x016</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血行播散性肺结核（复治,广泛耐药）涂阴培阳</w:t>
            </w:r>
          </w:p>
        </w:tc>
      </w:tr>
      <w:tr>
        <w:tblPrEx>
          <w:tblCellMar>
            <w:top w:w="0" w:type="dxa"/>
            <w:left w:w="108" w:type="dxa"/>
            <w:bottom w:w="0" w:type="dxa"/>
            <w:right w:w="108" w:type="dxa"/>
          </w:tblCellMar>
        </w:tblPrEx>
        <w:trPr>
          <w:trHeight w:val="91"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35" w:type="dxa"/>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楷体_GBK" w:cs="方正楷体_GBK"/>
                <w:color w:val="000000" w:themeColor="text1"/>
                <w:szCs w:val="21"/>
                <w14:textFill>
                  <w14:solidFill>
                    <w14:schemeClr w14:val="tx1"/>
                  </w14:solidFill>
                </w14:textFill>
              </w:rPr>
            </w:pPr>
            <w:r>
              <w:rPr>
                <w:rFonts w:ascii="Times New Roman" w:hAnsi="Times New Roman" w:eastAsia="方正楷体_GBK" w:cs="方正楷体_GBK"/>
                <w:color w:val="000000" w:themeColor="text1"/>
                <w:kern w:val="0"/>
                <w:szCs w:val="21"/>
                <w:lang w:bidi="ar"/>
                <w14:textFill>
                  <w14:solidFill>
                    <w14:schemeClr w14:val="tx1"/>
                  </w14:solidFill>
                </w14:textFill>
              </w:rPr>
              <w:t>一、耐药结核病</w:t>
            </w:r>
            <w:r>
              <w:rPr>
                <w:rFonts w:hint="eastAsia" w:ascii="Times New Roman" w:hAnsi="Times New Roman" w:eastAsia="方正楷体_GBK" w:cs="方正楷体_GBK"/>
                <w:color w:val="000000" w:themeColor="text1"/>
                <w:kern w:val="0"/>
                <w:szCs w:val="21"/>
                <w:highlight w:val="none"/>
                <w:lang w:eastAsia="zh-CN" w:bidi="ar"/>
                <w14:textFill>
                  <w14:solidFill>
                    <w14:schemeClr w14:val="tx1"/>
                  </w14:solidFill>
                </w14:textFill>
              </w:rPr>
              <w:t>诊断标准</w:t>
            </w:r>
            <w:r>
              <w:rPr>
                <w:rFonts w:ascii="Times New Roman" w:hAnsi="Times New Roman" w:eastAsia="方正仿宋_GBK" w:cs="方正仿宋_GBK"/>
                <w:color w:val="000000" w:themeColor="text1"/>
                <w:kern w:val="0"/>
                <w:szCs w:val="21"/>
                <w:highlight w:val="none"/>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 根据《中国耐多药和利福平耐药结核病治疗专家共识（2019年版）》《中国结核病防治规划实施工作指南（2021年版）》和中国防痨协会发布《利福平耐药结核病治疗规范》团体标准进行耐药结核病诊断。由二级及以上医疗机构出具盖鲜章的结核病诊断病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 具有结核病相关的临床症状和体征，结核分枝杆菌病原学、病理学、影像学等检查有活动性结核的证据。</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 结核分枝杆菌药敏试验（表型DST或分子DST）提示对结核药物耐药。包括：单耐药，多耐药、耐多药、准广泛耐药、广泛耐药和利福平耐药。</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楷体_GBK" w:cs="方正楷体_GBK"/>
                <w:color w:val="000000" w:themeColor="text1"/>
                <w:kern w:val="0"/>
                <w:szCs w:val="21"/>
                <w:lang w:bidi="ar"/>
                <w14:textFill>
                  <w14:solidFill>
                    <w14:schemeClr w14:val="tx1"/>
                  </w14:solidFill>
                </w14:textFill>
              </w:rPr>
              <w:t>二、耐药结核病特病待遇有效期为24个月，对待遇期满仍需继续治疗的，应由诊断机构再次出具确诊材料，可继续享受耐药结核病特病待遇12个月。</w:t>
            </w:r>
          </w:p>
        </w:tc>
      </w:tr>
      <w:tr>
        <w:tblPrEx>
          <w:tblCellMar>
            <w:top w:w="0" w:type="dxa"/>
            <w:left w:w="108" w:type="dxa"/>
            <w:bottom w:w="0" w:type="dxa"/>
            <w:right w:w="108" w:type="dxa"/>
          </w:tblCellMar>
        </w:tblPrEx>
        <w:trPr>
          <w:trHeight w:val="9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抗结核药物</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XJ01CR</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青霉素类复方制剂，含β-内酰胺酶抑制剂</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XJ01DH</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碳青霉烯类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XJ01FA</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大环内酯类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XJ01G</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氨基糖苷类抗菌药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XJ01MA</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氟喹诺酮类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XJ01XX</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其他抗菌药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抗分枝杆菌药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预防和治疗环丝氨酸神经毒性</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维生素B6</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药物副作用导致的肝损害相关治疗</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0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经纤支镜检查和治疗</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310605006</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经纤支镜肺泡灌洗诊疗术</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病原学检查</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结核菌涂片检查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250501013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结核菌培养</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250502004a</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结核菌药敏试验</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280000001q</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结核感染T细胞检测</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结核分枝杆菌直接检测(MTD)</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280000015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核酸多聚酶链反应检查诊断</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280000001p</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结核分枝杆菌耐药基因检测</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X线检查、CT平扫或增强、超声（限结核部位）</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X线计算机体层(CT)扫描</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普通彩色多普勒超声检查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磁共振平扫或增强（限骨或中枢神经系统结核）</w:t>
            </w:r>
          </w:p>
        </w:tc>
        <w:tc>
          <w:tcPr>
            <w:tcW w:w="1942"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w:t>
            </w:r>
          </w:p>
        </w:tc>
        <w:tc>
          <w:tcPr>
            <w:tcW w:w="2977"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磁共振扫描(MRI)</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w:t>
            </w:r>
          </w:p>
        </w:tc>
        <w:tc>
          <w:tcPr>
            <w:tcW w:w="2977"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977"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视力（限使用链霉素、乙胺丁醇类药物且怀疑视力受损的患者）</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310300053</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眼底照相</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310300056</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310300005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视野检查</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310300068</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视诱发电位(VEP)</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310300064</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光学相干断层成相(OCT)</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听力（限使用氨基糖苷类药物且怀疑听力受损的患者）</w:t>
            </w: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310401002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纯音听阈测定</w:t>
            </w:r>
          </w:p>
        </w:tc>
      </w:tr>
      <w:tr>
        <w:tblPrEx>
          <w:tblCellMar>
            <w:top w:w="0" w:type="dxa"/>
            <w:left w:w="108" w:type="dxa"/>
            <w:bottom w:w="0" w:type="dxa"/>
            <w:right w:w="108" w:type="dxa"/>
          </w:tblCellMar>
        </w:tblPrEx>
        <w:trPr>
          <w:trHeight w:val="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310401015</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耳声发射检查</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2.</w:t>
      </w:r>
      <w:r>
        <w:rPr>
          <w:rFonts w:ascii="Times New Roman" w:hAnsi="Times New Roman" w:eastAsia="黑体"/>
          <w:color w:val="000000" w:themeColor="text1"/>
          <w:sz w:val="30"/>
          <w:szCs w:val="30"/>
          <w14:textFill>
            <w14:solidFill>
              <w14:schemeClr w14:val="tx1"/>
            </w14:solidFill>
          </w14:textFill>
        </w:rPr>
        <w:t>高苯丙氨酸血症（苯丙酮尿症、四氢生物蝶呤缺乏症）</w:t>
      </w:r>
    </w:p>
    <w:tbl>
      <w:tblPr>
        <w:tblStyle w:val="4"/>
        <w:tblW w:w="8691" w:type="dxa"/>
        <w:tblInd w:w="93" w:type="dxa"/>
        <w:tblLayout w:type="fixed"/>
        <w:tblCellMar>
          <w:top w:w="0" w:type="dxa"/>
          <w:left w:w="108" w:type="dxa"/>
          <w:bottom w:w="0" w:type="dxa"/>
          <w:right w:w="108" w:type="dxa"/>
        </w:tblCellMar>
      </w:tblPr>
      <w:tblGrid>
        <w:gridCol w:w="803"/>
        <w:gridCol w:w="1196"/>
        <w:gridCol w:w="1217"/>
        <w:gridCol w:w="2010"/>
        <w:gridCol w:w="3465"/>
      </w:tblGrid>
      <w:tr>
        <w:tblPrEx>
          <w:tblCellMar>
            <w:top w:w="0" w:type="dxa"/>
            <w:left w:w="108" w:type="dxa"/>
            <w:bottom w:w="0" w:type="dxa"/>
            <w:right w:w="108" w:type="dxa"/>
          </w:tblCellMar>
        </w:tblPrEx>
        <w:trPr>
          <w:trHeight w:val="550"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13"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高苯丙氨酸血症（苯丙酮尿症、四氢生物蝶呤缺乏症）</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E70.101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高苯丙氨酸血症</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E70.100x001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苯丙酮尿症</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E70.102</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四氢生物蝶呤缺乏症</w:t>
            </w:r>
          </w:p>
        </w:tc>
      </w:tr>
      <w:tr>
        <w:tblPrEx>
          <w:tblCellMar>
            <w:top w:w="0" w:type="dxa"/>
            <w:left w:w="108" w:type="dxa"/>
            <w:bottom w:w="0" w:type="dxa"/>
            <w:right w:w="108" w:type="dxa"/>
          </w:tblCellMar>
        </w:tblPrEx>
        <w:trPr>
          <w:trHeight w:val="91" w:hRule="atLeast"/>
        </w:trPr>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8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0"/>
              </w:numPr>
              <w:spacing w:line="340" w:lineRule="exact"/>
              <w:jc w:val="left"/>
              <w:textAlignment w:val="center"/>
              <w:rPr>
                <w:rFonts w:hint="eastAsia" w:ascii="Times New Roman" w:hAnsi="Times New Roman" w:eastAsia="方正楷体_GBK" w:cs="方正楷体_GBK"/>
                <w:color w:val="000000" w:themeColor="text1"/>
                <w:kern w:val="0"/>
                <w:szCs w:val="21"/>
                <w:lang w:bidi="ar"/>
                <w14:textFill>
                  <w14:solidFill>
                    <w14:schemeClr w14:val="tx1"/>
                  </w14:solidFill>
                </w14:textFill>
              </w:rPr>
            </w:pPr>
            <w:r>
              <w:rPr>
                <w:rFonts w:hint="eastAsia" w:ascii="Times New Roman" w:hAnsi="Times New Roman" w:eastAsia="方正楷体_GBK" w:cs="方正楷体_GBK"/>
                <w:color w:val="000000" w:themeColor="text1"/>
                <w:kern w:val="0"/>
                <w:sz w:val="21"/>
                <w:szCs w:val="21"/>
                <w:lang w:val="en-US" w:eastAsia="zh-CN" w:bidi="ar"/>
                <w14:textFill>
                  <w14:solidFill>
                    <w14:schemeClr w14:val="tx1"/>
                  </w14:solidFill>
                </w14:textFill>
              </w:rPr>
              <w:t>一、</w:t>
            </w:r>
            <w:r>
              <w:rPr>
                <w:rFonts w:hint="eastAsia" w:ascii="Times New Roman" w:hAnsi="Times New Roman" w:eastAsia="方正楷体_GBK" w:cs="方正楷体_GBK"/>
                <w:color w:val="000000" w:themeColor="text1"/>
                <w:kern w:val="0"/>
                <w:szCs w:val="21"/>
                <w:lang w:bidi="ar"/>
                <w14:textFill>
                  <w14:solidFill>
                    <w14:schemeClr w14:val="tx1"/>
                  </w14:solidFill>
                </w14:textFill>
              </w:rPr>
              <w:t>苯丙酮尿症</w:t>
            </w:r>
          </w:p>
          <w:p>
            <w:pPr>
              <w:widowControl/>
              <w:numPr>
                <w:ilvl w:val="0"/>
                <w:numId w:val="0"/>
              </w:numPr>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血苯丙氨酸浓度持续≥6mg/dl，完成鉴别诊断后，确诊为苯丙酮尿症。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hint="eastAsia" w:ascii="Times New Roman" w:hAnsi="Times New Roman" w:eastAsia="方正楷体_GBK" w:cs="方正楷体_GBK"/>
                <w:color w:val="000000" w:themeColor="text1"/>
                <w:kern w:val="0"/>
                <w:szCs w:val="21"/>
                <w:lang w:bidi="ar"/>
                <w14:textFill>
                  <w14:solidFill>
                    <w14:schemeClr w14:val="tx1"/>
                  </w14:solidFill>
                </w14:textFill>
              </w:rPr>
              <w:t>二、四氢生物蝶呤缺乏症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经血苯丙氨酸检测、尿碟呤谱分析、红细胞DHPR活性检测、串联质谱检测、基因检测为四氢生物蝶呤缺乏症。</w:t>
            </w:r>
          </w:p>
        </w:tc>
      </w:tr>
      <w:tr>
        <w:tblPrEx>
          <w:tblCellMar>
            <w:top w:w="0" w:type="dxa"/>
            <w:left w:w="108" w:type="dxa"/>
            <w:bottom w:w="0" w:type="dxa"/>
            <w:right w:w="108" w:type="dxa"/>
          </w:tblCellMar>
        </w:tblPrEx>
        <w:trPr>
          <w:trHeight w:val="91"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治疗用四氢生物碟呤和神经递质前质药物</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多巴和其衍生物</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XN04BA</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多巴和其衍生物</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亚叶酸钙</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XV03AF</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抗肿瘤治疗用解毒药</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8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低苯丙氨酸食品</w:t>
            </w:r>
          </w:p>
        </w:tc>
      </w:tr>
      <w:tr>
        <w:tblPrEx>
          <w:tblCellMar>
            <w:top w:w="0" w:type="dxa"/>
            <w:left w:w="108" w:type="dxa"/>
            <w:bottom w:w="0" w:type="dxa"/>
            <w:right w:w="108" w:type="dxa"/>
          </w:tblCellMar>
        </w:tblPrEx>
        <w:trPr>
          <w:trHeight w:val="91"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4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血苯丙氨酸检测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250700015</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苯丙氨酸测定(PKU)</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串联质谱检测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A250700023</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遗传代谢性疾病筛查</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泌乳素（限四氢生物蝶呤缺乏症）</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250305014</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血清胆碱脂酶测定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250307003</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内生肌酐清除率试验</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骨龄测定</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儿童体格发育评估（精细）</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MAMZY003</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康复综合评定</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智力测评（每种量表医保基金支付不超过4次/年）</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011102010020200</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临床量表评估（他评）-儿童评估（扩展）</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颅脑核磁共振</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ECABA001</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颅脑磁共振成像</w:t>
            </w:r>
          </w:p>
        </w:tc>
      </w:tr>
      <w:tr>
        <w:tblPrEx>
          <w:tblCellMar>
            <w:top w:w="0" w:type="dxa"/>
            <w:left w:w="108" w:type="dxa"/>
            <w:bottom w:w="0" w:type="dxa"/>
            <w:right w:w="108" w:type="dxa"/>
          </w:tblCellMar>
        </w:tblPrEx>
        <w:trPr>
          <w:trHeight w:val="91"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310100001</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3.</w:t>
      </w:r>
      <w:r>
        <w:rPr>
          <w:rFonts w:ascii="Times New Roman" w:hAnsi="Times New Roman" w:eastAsia="黑体"/>
          <w:color w:val="000000" w:themeColor="text1"/>
          <w:sz w:val="30"/>
          <w:szCs w:val="30"/>
          <w14:textFill>
            <w14:solidFill>
              <w14:schemeClr w14:val="tx1"/>
            </w14:solidFill>
          </w14:textFill>
        </w:rPr>
        <w:t>普拉德-威利综合征</w:t>
      </w:r>
    </w:p>
    <w:tbl>
      <w:tblPr>
        <w:tblStyle w:val="4"/>
        <w:tblW w:w="8691" w:type="dxa"/>
        <w:tblInd w:w="93" w:type="dxa"/>
        <w:tblLayout w:type="fixed"/>
        <w:tblCellMar>
          <w:top w:w="0" w:type="dxa"/>
          <w:left w:w="108" w:type="dxa"/>
          <w:bottom w:w="0" w:type="dxa"/>
          <w:right w:w="108" w:type="dxa"/>
        </w:tblCellMar>
      </w:tblPr>
      <w:tblGrid>
        <w:gridCol w:w="818"/>
        <w:gridCol w:w="2700"/>
        <w:gridCol w:w="2355"/>
        <w:gridCol w:w="2818"/>
      </w:tblGrid>
      <w:tr>
        <w:tblPrEx>
          <w:tblCellMar>
            <w:top w:w="0" w:type="dxa"/>
            <w:left w:w="108" w:type="dxa"/>
            <w:bottom w:w="0" w:type="dxa"/>
            <w:right w:w="108" w:type="dxa"/>
          </w:tblCellMar>
        </w:tblPrEx>
        <w:trPr>
          <w:trHeight w:val="444"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普拉德-威利综合征</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Q87.106</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普拉德-威利综合征</w:t>
            </w:r>
          </w:p>
        </w:tc>
      </w:tr>
      <w:tr>
        <w:tblPrEx>
          <w:tblCellMar>
            <w:top w:w="0" w:type="dxa"/>
            <w:left w:w="108" w:type="dxa"/>
            <w:bottom w:w="0" w:type="dxa"/>
            <w:right w:w="108" w:type="dxa"/>
          </w:tblCellMar>
        </w:tblPrEx>
        <w:trPr>
          <w:trHeight w:val="91"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一、生后喂养困难、婴幼儿期肌张力低、生长发育迟缓、智能障碍、行为异常、特殊面容、多食、肥胖及性腺功能减退为主要临床特征。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二、采血进行15q11-q13区域甲基化检测或基因检测结果阳性。</w:t>
            </w:r>
          </w:p>
        </w:tc>
      </w:tr>
      <w:tr>
        <w:tblPrEx>
          <w:tblCellMar>
            <w:top w:w="0" w:type="dxa"/>
            <w:left w:w="108" w:type="dxa"/>
            <w:bottom w:w="0" w:type="dxa"/>
            <w:right w:w="108" w:type="dxa"/>
          </w:tblCellMar>
        </w:tblPrEx>
        <w:trPr>
          <w:trHeight w:val="465"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3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生长激素</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XH01A</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垂体前叶激素和类似物</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促性腺激素</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XG03G</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促性腺激素和其他促排卵药</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全身用激素类避孕药</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XG03A</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全身用激素类避孕药</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雌激素</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XG03C</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雌激素类</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甲状腺制剂</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XH03A</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甲状腺制剂</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596"/>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4.</w:t>
      </w:r>
      <w:r>
        <w:rPr>
          <w:rFonts w:ascii="Times New Roman" w:hAnsi="Times New Roman" w:eastAsia="黑体"/>
          <w:color w:val="000000" w:themeColor="text1"/>
          <w:sz w:val="30"/>
          <w:szCs w:val="30"/>
          <w14:textFill>
            <w14:solidFill>
              <w14:schemeClr w14:val="tx1"/>
            </w14:solidFill>
          </w14:textFill>
        </w:rPr>
        <w:t>原发性生长激素缺乏症</w:t>
      </w:r>
    </w:p>
    <w:tbl>
      <w:tblPr>
        <w:tblStyle w:val="4"/>
        <w:tblW w:w="8691" w:type="dxa"/>
        <w:tblInd w:w="93" w:type="dxa"/>
        <w:tblLayout w:type="fixed"/>
        <w:tblCellMar>
          <w:top w:w="0" w:type="dxa"/>
          <w:left w:w="108" w:type="dxa"/>
          <w:bottom w:w="0" w:type="dxa"/>
          <w:right w:w="108" w:type="dxa"/>
        </w:tblCellMar>
      </w:tblPr>
      <w:tblGrid>
        <w:gridCol w:w="743"/>
        <w:gridCol w:w="2790"/>
        <w:gridCol w:w="2535"/>
        <w:gridCol w:w="2623"/>
      </w:tblGrid>
      <w:tr>
        <w:tblPrEx>
          <w:tblCellMar>
            <w:top w:w="0" w:type="dxa"/>
            <w:left w:w="108" w:type="dxa"/>
            <w:bottom w:w="0" w:type="dxa"/>
            <w:right w:w="108" w:type="dxa"/>
          </w:tblCellMar>
        </w:tblPrEx>
        <w:trPr>
          <w:trHeight w:val="488"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原发性生长激素缺乏症</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E23.009</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生长激素缺乏症</w:t>
            </w:r>
          </w:p>
        </w:tc>
      </w:tr>
      <w:tr>
        <w:tblPrEx>
          <w:tblCellMar>
            <w:top w:w="0" w:type="dxa"/>
            <w:left w:w="108" w:type="dxa"/>
            <w:bottom w:w="0" w:type="dxa"/>
            <w:right w:w="108" w:type="dxa"/>
          </w:tblCellMar>
        </w:tblPrEx>
        <w:trPr>
          <w:trHeight w:val="91"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 w:val="21"/>
                <w:szCs w:val="21"/>
                <w:lang w:val="en-US" w:eastAsia="zh-CN" w:bidi="ar"/>
                <w14:textFill>
                  <w14:solidFill>
                    <w14:schemeClr w14:val="tx1"/>
                  </w14:solidFill>
                </w14:textFill>
              </w:rPr>
              <w:t>1.</w:t>
            </w:r>
            <w:r>
              <w:rPr>
                <w:rFonts w:ascii="Times New Roman" w:hAnsi="Times New Roman" w:eastAsia="方正仿宋_GBK" w:cs="方正仿宋_GBK"/>
                <w:color w:val="000000" w:themeColor="text1"/>
                <w:kern w:val="0"/>
                <w:szCs w:val="21"/>
                <w:lang w:bidi="ar"/>
                <w14:textFill>
                  <w14:solidFill>
                    <w14:schemeClr w14:val="tx1"/>
                  </w14:solidFill>
                </w14:textFill>
              </w:rPr>
              <w:t>身高落后于同年龄、同性别正常健康儿童身高的第3百分位数［-1.88SD］或-2SD以下；</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2.年生长速率&lt;7cm/年（3岁以下）：&lt;5cm/年（3岁~青春期前）；&lt;6cm/年（青春期）；</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3.匀称性矮小、面容幼稚；</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4.智力发育正常；</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5.骨龄落后于实际年龄；</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6.两项药物生长激素激发试验提示生长激素峰值均&lt;10</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u</w:t>
            </w:r>
            <w:r>
              <w:rPr>
                <w:rFonts w:ascii="Times New Roman" w:hAnsi="Times New Roman" w:eastAsia="方正仿宋_GBK" w:cs="方正仿宋_GBK"/>
                <w:color w:val="000000" w:themeColor="text1"/>
                <w:kern w:val="0"/>
                <w:szCs w:val="21"/>
                <w:lang w:bidi="ar"/>
                <w14:textFill>
                  <w14:solidFill>
                    <w14:schemeClr w14:val="tx1"/>
                  </w14:solidFill>
                </w14:textFill>
              </w:rPr>
              <w:t>g/L；</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7.血清胰岛素样生长因子1（IGFI）水平低于正常</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附：生长激素激发试验 </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GH兴奋试验常用药：</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左旋多巴：10mg/kg 口服,最大剂量500mg/次；可乐定：4-5ug/kg；口服精氨酸：0.5g/kg 静脉滴注；胰岛素：0.05-0.1U/kg 静脉注射；溴比斯地明 1mg/kg,最大剂量100mg/次；用药前0min和用药后30、60、90、120min抽血测GH</w:t>
            </w:r>
          </w:p>
          <w:p>
            <w:pPr>
              <w:widowControl/>
              <w:numPr>
                <w:ilvl w:val="0"/>
                <w:numId w:val="0"/>
              </w:numPr>
              <w:spacing w:line="340" w:lineRule="exact"/>
              <w:jc w:val="left"/>
              <w:textAlignment w:val="center"/>
              <w:rPr>
                <w:rFonts w:hint="default" w:ascii="Times New Roman" w:hAnsi="Times New Roman" w:eastAsia="方正仿宋_GBK" w:cs="方正仿宋_GBK"/>
                <w:color w:val="000000" w:themeColor="text1"/>
                <w:kern w:val="0"/>
                <w:szCs w:val="21"/>
                <w:lang w:val="en-US" w:eastAsia="zh-CN"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8.排除其他基础疾病。</w:t>
            </w:r>
          </w:p>
        </w:tc>
      </w:tr>
      <w:tr>
        <w:tblPrEx>
          <w:tblCellMar>
            <w:top w:w="0" w:type="dxa"/>
            <w:left w:w="108" w:type="dxa"/>
            <w:bottom w:w="0" w:type="dxa"/>
            <w:right w:w="108" w:type="dxa"/>
          </w:tblCellMar>
        </w:tblPrEx>
        <w:trPr>
          <w:trHeight w:val="450"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5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6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生长激素</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XH01A</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垂体前叶激素和类似物</w:t>
            </w:r>
          </w:p>
        </w:tc>
      </w:tr>
    </w:tbl>
    <w:p>
      <w:pPr>
        <w:spacing w:line="340" w:lineRule="exact"/>
        <w:rPr>
          <w:rFonts w:ascii="Times New Roman" w:hAnsi="Times New Roman"/>
          <w:color w:val="000000" w:themeColor="text1"/>
          <w:sz w:val="36"/>
          <w:szCs w:val="36"/>
          <w14:textFill>
            <w14:solidFill>
              <w14:schemeClr w14:val="tx1"/>
            </w14:solidFill>
          </w14:textFill>
        </w:rPr>
      </w:pPr>
      <w:r>
        <w:rPr>
          <w:rFonts w:hint="eastAsia" w:ascii="Times New Roman" w:hAnsi="Times New Roman"/>
          <w:color w:val="000000" w:themeColor="text1"/>
          <w:sz w:val="36"/>
          <w:szCs w:val="36"/>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before="312" w:beforeLines="100" w:line="600" w:lineRule="exact"/>
        <w:jc w:val="center"/>
        <w:textAlignment w:val="auto"/>
        <w:rPr>
          <w:rFonts w:hint="eastAsia" w:ascii="方正小标宋_GBK" w:hAnsi="方正小标宋_GBK" w:eastAsia="方正小标宋_GBK" w:cs="方正小标宋_GBK"/>
          <w:b w:val="0"/>
          <w:bCs w:val="0"/>
          <w:color w:val="000000" w:themeColor="text1"/>
          <w:sz w:val="44"/>
          <w:szCs w:val="44"/>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14:textFill>
            <w14:solidFill>
              <w14:schemeClr w14:val="tx1"/>
            </w14:solidFill>
          </w14:textFill>
        </w:rPr>
        <w:t>二类病种</w:t>
      </w:r>
    </w:p>
    <w:p>
      <w:pPr>
        <w:keepNext w:val="0"/>
        <w:keepLines w:val="0"/>
        <w:pageBreakBefore w:val="0"/>
        <w:widowControl w:val="0"/>
        <w:tabs>
          <w:tab w:val="left" w:pos="737"/>
        </w:tabs>
        <w:kinsoku/>
        <w:wordWrap/>
        <w:overflowPunct/>
        <w:topLinePunct w:val="0"/>
        <w:autoSpaceDE/>
        <w:autoSpaceDN/>
        <w:bidi w:val="0"/>
        <w:adjustRightInd/>
        <w:snapToGrid/>
        <w:spacing w:line="500" w:lineRule="exact"/>
        <w:textAlignment w:val="auto"/>
        <w:rPr>
          <w:rFonts w:hint="eastAsia" w:ascii="Times New Roman" w:hAnsi="Times New Roman" w:eastAsia="黑体"/>
          <w:color w:val="000000" w:themeColor="text1"/>
          <w:sz w:val="30"/>
          <w:szCs w:val="30"/>
          <w14:textFill>
            <w14:solidFill>
              <w14:schemeClr w14:val="tx1"/>
            </w14:solidFill>
          </w14:textFill>
        </w:rPr>
      </w:pPr>
    </w:p>
    <w:p>
      <w:pPr>
        <w:keepNext w:val="0"/>
        <w:keepLines w:val="0"/>
        <w:pageBreakBefore w:val="0"/>
        <w:widowControl w:val="0"/>
        <w:tabs>
          <w:tab w:val="left" w:pos="737"/>
        </w:tabs>
        <w:kinsoku/>
        <w:wordWrap/>
        <w:overflowPunct/>
        <w:topLinePunct w:val="0"/>
        <w:autoSpaceDE/>
        <w:autoSpaceDN/>
        <w:bidi w:val="0"/>
        <w:adjustRightInd/>
        <w:snapToGrid/>
        <w:spacing w:line="600" w:lineRule="exact"/>
        <w:textAlignment w:val="auto"/>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.强直性脊柱炎</w:t>
      </w:r>
    </w:p>
    <w:tbl>
      <w:tblPr>
        <w:tblStyle w:val="4"/>
        <w:tblW w:w="8691" w:type="dxa"/>
        <w:tblInd w:w="93" w:type="dxa"/>
        <w:tblLayout w:type="fixed"/>
        <w:tblCellMar>
          <w:top w:w="0" w:type="dxa"/>
          <w:left w:w="108" w:type="dxa"/>
          <w:bottom w:w="0" w:type="dxa"/>
          <w:right w:w="108" w:type="dxa"/>
        </w:tblCellMar>
      </w:tblPr>
      <w:tblGrid>
        <w:gridCol w:w="787"/>
        <w:gridCol w:w="2596"/>
        <w:gridCol w:w="2430"/>
        <w:gridCol w:w="2878"/>
      </w:tblGrid>
      <w:tr>
        <w:tblPrEx>
          <w:tblCellMar>
            <w:top w:w="0" w:type="dxa"/>
            <w:left w:w="108" w:type="dxa"/>
            <w:bottom w:w="0" w:type="dxa"/>
            <w:right w:w="108" w:type="dxa"/>
          </w:tblCellMar>
        </w:tblPrEx>
        <w:trPr>
          <w:trHeight w:val="435"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强直性脊柱炎</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M45.x00</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强直性脊柱炎</w:t>
            </w:r>
          </w:p>
        </w:tc>
      </w:tr>
      <w:tr>
        <w:tblPrEx>
          <w:tblCellMar>
            <w:top w:w="0" w:type="dxa"/>
            <w:left w:w="108" w:type="dxa"/>
            <w:bottom w:w="0" w:type="dxa"/>
            <w:right w:w="108" w:type="dxa"/>
          </w:tblCellMar>
        </w:tblPrEx>
        <w:trPr>
          <w:trHeight w:val="9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强直性脊柱炎诊断分类标准：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1、炎性腰背痛持续至少3个月，且符合以下5条中的4条：</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1）发病年龄＜40岁，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2）隐匿起病，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3）活动后症状好转，</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4）休息时加重，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5）夜间痛，起床后好转。</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2、腰椎在前后和侧屈方向活动受限；</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3、胸廓扩展范围小于同龄和性别的正常参考值；</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4、双侧骶髂关节炎II-IV级，或单侧骶髂关节炎III-IV级；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骶髂关节炎放射学分级：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1）0级正常，</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2）I级可疑变化，</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3）II级轻度异常，可见局限性侵蚀、硬化，但无关节间隙的改变，</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4）III级明显异常，为中度或进行性骶髂关节炎，伴有侵蚀、硬化、关节间隙增宽或狭窄或部分强直，</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5）IV级严重异常，完全关节强直。</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患者符合第4条，且符合1~3条中的任意1条可诊断强直性脊柱炎。</w:t>
            </w:r>
          </w:p>
        </w:tc>
      </w:tr>
      <w:tr>
        <w:tblPrEx>
          <w:tblCellMar>
            <w:top w:w="0" w:type="dxa"/>
            <w:left w:w="108" w:type="dxa"/>
            <w:bottom w:w="0" w:type="dxa"/>
            <w:right w:w="108" w:type="dxa"/>
          </w:tblCellMar>
        </w:tblPrEx>
        <w:trPr>
          <w:trHeight w:val="405"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生物制剂或小分子靶向药</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XL04AB</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肿瘤坏死因子α(TNF-α)抑制剂</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XL04AC</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白介素抑制剂</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XL04AA</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选择性免疫抑制剂</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非甾体抗炎药</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XM01A</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非甾体类抗炎和抗风湿药</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并发症对症治疗</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XJ04A</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治疗结核病药</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XJ05AF</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核苷及核苷酸逆转录酶抑制剂</w:t>
            </w:r>
          </w:p>
        </w:tc>
      </w:tr>
      <w:tr>
        <w:tblPrEx>
          <w:tblCellMar>
            <w:top w:w="0" w:type="dxa"/>
            <w:left w:w="108" w:type="dxa"/>
            <w:bottom w:w="0" w:type="dxa"/>
            <w:right w:w="108" w:type="dxa"/>
          </w:tblCellMar>
        </w:tblPrEx>
        <w:trPr>
          <w:trHeight w:val="405"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医疗服务项目编码</w:t>
            </w:r>
          </w:p>
        </w:tc>
        <w:tc>
          <w:tcPr>
            <w:tcW w:w="2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医疗服务项目名称</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血沉</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250101008</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红细胞沉降率测定(ESR)</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25羟维生素D测定</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25羟维生素D测定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骨代谢检测</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250305013</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血清骨型碱性磷酸酶质量测定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250311005</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I型胶原羧基端前肽(PICP)测定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250311006</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骨钙羧基N端中分子片段测定(N-MID)</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250311007</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β-胶原降解产物测定(β-CTX)</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骨密度（医保基金支付不超过1次/年）</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X线、DR、CR（脊柱、盆腔）</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210101001.30</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普通透视(盆腔)</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210101001.40</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普通透视(四肢)</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胸部CT（医保基金支付不超过1次/年）</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骶髂关节CT（不可与骶髂关节MRI同时检查，医保基金支付不超过1次/年）</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EBAXC001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骶髂关节X线计算机体层(CT)平扫</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EBBXC001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骶髂关节X线计算机体层(CT)增强扫描</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骶髂关节MRI（不可与骶髂关节CT同时检查，医保基金支付不超过1次/年）</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ECAXC001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骶髂关节磁共振成像</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视力检查（限并发葡萄膜炎）</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310300001</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普通视力检查</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裂隙灯（限并发葡萄膜炎）</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310300048</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裂隙灯检查</w:t>
            </w:r>
          </w:p>
        </w:tc>
      </w:tr>
      <w:tr>
        <w:tblPrEx>
          <w:tblCellMar>
            <w:top w:w="0" w:type="dxa"/>
            <w:left w:w="108" w:type="dxa"/>
            <w:bottom w:w="0" w:type="dxa"/>
            <w:right w:w="108" w:type="dxa"/>
          </w:tblCellMar>
        </w:tblPrEx>
        <w:trPr>
          <w:trHeight w:val="9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眼底镜（限并发葡萄膜炎）</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310300056</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眼底检查</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2</w:t>
      </w:r>
      <w:r>
        <w:rPr>
          <w:rFonts w:ascii="Times New Roman" w:hAnsi="Times New Roman" w:eastAsia="黑体"/>
          <w:color w:val="000000" w:themeColor="text1"/>
          <w:sz w:val="30"/>
          <w:szCs w:val="30"/>
          <w14:textFill>
            <w14:solidFill>
              <w14:schemeClr w14:val="tx1"/>
            </w14:solidFill>
          </w14:textFill>
        </w:rPr>
        <w:t>.原发性肾病综合征</w:t>
      </w:r>
    </w:p>
    <w:tbl>
      <w:tblPr>
        <w:tblStyle w:val="4"/>
        <w:tblW w:w="8858" w:type="dxa"/>
        <w:tblInd w:w="93" w:type="dxa"/>
        <w:tblLayout w:type="fixed"/>
        <w:tblCellMar>
          <w:top w:w="0" w:type="dxa"/>
          <w:left w:w="108" w:type="dxa"/>
          <w:bottom w:w="0" w:type="dxa"/>
          <w:right w:w="108" w:type="dxa"/>
        </w:tblCellMar>
      </w:tblPr>
      <w:tblGrid>
        <w:gridCol w:w="713"/>
        <w:gridCol w:w="2435"/>
        <w:gridCol w:w="1930"/>
        <w:gridCol w:w="3780"/>
      </w:tblGrid>
      <w:tr>
        <w:tblPrEx>
          <w:tblCellMar>
            <w:top w:w="0" w:type="dxa"/>
            <w:left w:w="108" w:type="dxa"/>
            <w:bottom w:w="0" w:type="dxa"/>
            <w:right w:w="108" w:type="dxa"/>
          </w:tblCellMar>
        </w:tblPrEx>
        <w:trPr>
          <w:trHeight w:val="458"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原发性肾病综合征</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N04.000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肾病综合征伴有轻微的肾小球异常</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肾病综合征伴微小病变性肾小球肾炎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N04.100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肾病综合征伴有局灶性和节段性肾小球损害</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N04.101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肾病综合征伴局灶硬化性肾小球肾炎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N04.102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肾病综合征伴节段硬化性肾小球肾炎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N04.200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肾病综合征伴有弥漫性膜性肾小球肾炎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N04.200x001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肾病综合征伴膜性肾小球肾炎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N04.300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肾病综合征伴有弥漫性肾小球系膜性增生性肾小球肾炎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N04.300x001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肾病综合征伴膜增值性肾小球肾炎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N04.300x003</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肾病综合征伴膜性增殖性IgA肾病</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N04.400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肾病综合征伴有弥漫性毛细血管内增生性肾小球肾炎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N04.400x001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肾病综合征伴毛细血管增殖性肾炎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N04.500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肾病综合征伴有弥漫性肾小球系膜毛细血管性肾小球肾炎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N04.501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肾病综合征，膜增殖性肾小球肾炎Ⅰ型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N04.502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肾病综合征，膜增殖性肾小球肾炎Ⅲ型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N04.600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肾病综合征伴有密集沉积物病</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N04.601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肾病综合征，膜增殖性肾小球肾炎Ⅱ型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N04.700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肾病综合征伴有弥漫性新月形肾小球肾炎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N04.800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肾病综合征,其他的</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N04.801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肾病综合征，增殖性肾小球肾炎</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N04.900</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肾病综合征</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N04.902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先天性肾病综合征</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O26.801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妊娠合并肾病综合征</w:t>
            </w:r>
          </w:p>
        </w:tc>
      </w:tr>
      <w:tr>
        <w:tblPrEx>
          <w:tblCellMar>
            <w:top w:w="0" w:type="dxa"/>
            <w:left w:w="108" w:type="dxa"/>
            <w:bottom w:w="0" w:type="dxa"/>
            <w:right w:w="108" w:type="dxa"/>
          </w:tblCellMar>
        </w:tblPrEx>
        <w:trPr>
          <w:trHeight w:val="9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一、大量蛋白尿（＞3.5g/d）。</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二、低白蛋白血症（血清白蛋白＜30g/L）。</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三、水肿。</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四、高脂血症。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五、排除继发性病因，考虑原发性肾小球疾病。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需同时满足一、二、五条。</w:t>
            </w:r>
          </w:p>
        </w:tc>
      </w:tr>
      <w:tr>
        <w:tblPrEx>
          <w:tblCellMar>
            <w:top w:w="0" w:type="dxa"/>
            <w:left w:w="108" w:type="dxa"/>
            <w:bottom w:w="0" w:type="dxa"/>
            <w:right w:w="108" w:type="dxa"/>
          </w:tblCellMar>
        </w:tblPrEx>
        <w:trPr>
          <w:trHeight w:val="91"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糖皮质激素</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XL04AD</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钙调磷酸酶抑制剂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XL01AA</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氮芥类似物</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减少尿蛋白药物</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纠正水、电解质酸碱平衡紊乱（代谢性酸中毒、高钾血症）药物</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纠正水、电解质酸碱平衡紊乱（代谢性酸中毒、高钾血症）药物（限使用激素的患者）</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XA02BA</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H2-受体拮抗剂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XA02BC</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质子泵抑制剂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降脂药物</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抗血小板药物</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口服吸附毒素和导泄排毒疗法药物</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XG04B</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泌尿系统药</w:t>
            </w:r>
          </w:p>
        </w:tc>
      </w:tr>
      <w:tr>
        <w:tblPrEx>
          <w:tblCellMar>
            <w:top w:w="0" w:type="dxa"/>
            <w:left w:w="108" w:type="dxa"/>
            <w:bottom w:w="0" w:type="dxa"/>
            <w:right w:w="108" w:type="dxa"/>
          </w:tblCellMar>
        </w:tblPrEx>
        <w:trPr>
          <w:trHeight w:val="91"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4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250307028</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血清胱抑素(CystatinC)测定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250102024</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尿沉渣定量</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尿白蛋白/肌酐比值</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250307006</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淋巴细胞亚群（限使用CD20单抗）</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血细胞簇分化抗原(CD)系列检测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24小时尿蛋白定量</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抗磷脂酶A2受体</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250307031</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抗磷脂酶A2受体（PLA2R）抗体检测</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3</w:t>
      </w:r>
      <w:r>
        <w:rPr>
          <w:rFonts w:ascii="Times New Roman" w:hAnsi="Times New Roman" w:eastAsia="黑体"/>
          <w:color w:val="000000" w:themeColor="text1"/>
          <w:sz w:val="30"/>
          <w:szCs w:val="30"/>
          <w14:textFill>
            <w14:solidFill>
              <w14:schemeClr w14:val="tx1"/>
            </w14:solidFill>
          </w14:textFill>
        </w:rPr>
        <w:t>.肝豆状核变性</w:t>
      </w:r>
    </w:p>
    <w:tbl>
      <w:tblPr>
        <w:tblStyle w:val="4"/>
        <w:tblW w:w="8873" w:type="dxa"/>
        <w:tblInd w:w="93" w:type="dxa"/>
        <w:tblLayout w:type="autofit"/>
        <w:tblCellMar>
          <w:top w:w="0" w:type="dxa"/>
          <w:left w:w="108" w:type="dxa"/>
          <w:bottom w:w="0" w:type="dxa"/>
          <w:right w:w="108" w:type="dxa"/>
        </w:tblCellMar>
      </w:tblPr>
      <w:tblGrid>
        <w:gridCol w:w="773"/>
        <w:gridCol w:w="1196"/>
        <w:gridCol w:w="1761"/>
        <w:gridCol w:w="1984"/>
        <w:gridCol w:w="3159"/>
      </w:tblGrid>
      <w:tr>
        <w:tblPrEx>
          <w:tblCellMar>
            <w:top w:w="0" w:type="dxa"/>
            <w:left w:w="108" w:type="dxa"/>
            <w:bottom w:w="0" w:type="dxa"/>
            <w:right w:w="108" w:type="dxa"/>
          </w:tblCellMar>
        </w:tblPrEx>
        <w:trPr>
          <w:trHeight w:val="346"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肝豆状核变性</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E83.003+F02.8*</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肝豆状核变性痴呆</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E83.001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肝豆状核变性</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E83.001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肝豆状核变性</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O99.208</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妊娠合并肝豆状核变性</w:t>
            </w:r>
          </w:p>
        </w:tc>
      </w:tr>
      <w:tr>
        <w:tblPrEx>
          <w:tblCellMar>
            <w:top w:w="0" w:type="dxa"/>
            <w:left w:w="108" w:type="dxa"/>
            <w:bottom w:w="0" w:type="dxa"/>
            <w:right w:w="108" w:type="dxa"/>
          </w:tblCellMar>
        </w:tblPrEx>
        <w:trPr>
          <w:trHeight w:val="91"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一、具有肝损害临床表现或神经系统症状。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二、血清铜蓝蛋白降低(&lt;0.2g/L)，24h尿铜升高(&gt;100μg)。</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三、裂隙灯下可见角膜K-F环(角膜色素环)。</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四、基因检测检出ATP7B突变</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注：同时具备一、二、三项者或同时具备一、四项者为肝豆状核变性。</w:t>
            </w:r>
          </w:p>
        </w:tc>
      </w:tr>
      <w:tr>
        <w:tblPrEx>
          <w:tblCellMar>
            <w:top w:w="0" w:type="dxa"/>
            <w:left w:w="108" w:type="dxa"/>
            <w:bottom w:w="0" w:type="dxa"/>
            <w:right w:w="108" w:type="dxa"/>
          </w:tblCellMar>
        </w:tblPrEx>
        <w:trPr>
          <w:trHeight w:val="91"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驱铜及阻止铜吸收的药物</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青霉胺</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硫酸锌</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XM01C</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特异性抗风湿药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解毒药</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XV03AB</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解毒药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对症治疗药物</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胆治疗药</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XA05A</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胆治疗药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肝脏治疗药，抗脂肪肝药</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XA05B</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肝脏治疗药，抗脂肪肝药</w:t>
            </w:r>
          </w:p>
        </w:tc>
      </w:tr>
      <w:tr>
        <w:tblPrEx>
          <w:tblCellMar>
            <w:top w:w="0" w:type="dxa"/>
            <w:left w:w="108" w:type="dxa"/>
            <w:bottom w:w="0" w:type="dxa"/>
            <w:right w:w="108" w:type="dxa"/>
          </w:tblCellMar>
        </w:tblPrEx>
        <w:trPr>
          <w:trHeight w:val="91"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肝功、铜代谢相关的生化检查</w:t>
            </w: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血清铜蓝蛋白</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250401028</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铜蓝蛋白测定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24小时尿铜</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250304013.1</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微量元素测定(铜测定)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肝铜量</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szCs w:val="21"/>
                <w:lang w:val="en-US" w:eastAsia="zh-CN"/>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250304013.1</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0</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微量元素测定(铜测定)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受累脏器功能指标</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250307003</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内生肌酐清除率试验</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250307028</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血清胱抑素(CystatinC)测定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凝血象</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监测药物副作用相关指标</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血淀粉酶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250308004</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淀粉酶测定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脂肪酶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250308006</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血清脂肪酶测定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神经系统受累</w:t>
            </w: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头部MRI</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ECABA001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颅脑磁共振成像</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w:t>
            </w:r>
          </w:p>
        </w:tc>
        <w:tc>
          <w:tcPr>
            <w:tcW w:w="3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腹部彩超</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B超（腹部）</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彩色多普勒超声检查（腹部）</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4</w:t>
      </w:r>
      <w:r>
        <w:rPr>
          <w:rFonts w:ascii="Times New Roman" w:hAnsi="Times New Roman" w:eastAsia="黑体"/>
          <w:color w:val="000000" w:themeColor="text1"/>
          <w:sz w:val="30"/>
          <w:szCs w:val="30"/>
          <w14:textFill>
            <w14:solidFill>
              <w14:schemeClr w14:val="tx1"/>
            </w14:solidFill>
          </w14:textFill>
        </w:rPr>
        <w:t>.重度骨质疏松</w:t>
      </w:r>
    </w:p>
    <w:tbl>
      <w:tblPr>
        <w:tblStyle w:val="4"/>
        <w:tblW w:w="8828" w:type="dxa"/>
        <w:tblInd w:w="93" w:type="dxa"/>
        <w:tblLayout w:type="fixed"/>
        <w:tblCellMar>
          <w:top w:w="0" w:type="dxa"/>
          <w:left w:w="108" w:type="dxa"/>
          <w:bottom w:w="0" w:type="dxa"/>
          <w:right w:w="108" w:type="dxa"/>
        </w:tblCellMar>
      </w:tblPr>
      <w:tblGrid>
        <w:gridCol w:w="728"/>
        <w:gridCol w:w="960"/>
        <w:gridCol w:w="2145"/>
        <w:gridCol w:w="2010"/>
        <w:gridCol w:w="2985"/>
      </w:tblGrid>
      <w:tr>
        <w:tblPrEx>
          <w:tblCellMar>
            <w:top w:w="0" w:type="dxa"/>
            <w:left w:w="108" w:type="dxa"/>
            <w:bottom w:w="0" w:type="dxa"/>
            <w:right w:w="108" w:type="dxa"/>
          </w:tblCellMar>
        </w:tblPrEx>
        <w:trPr>
          <w:trHeight w:val="90"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重度骨质疏松</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M81.900x092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重度骨质疏松</w:t>
            </w:r>
          </w:p>
        </w:tc>
      </w:tr>
      <w:tr>
        <w:tblPrEx>
          <w:tblCellMar>
            <w:top w:w="0" w:type="dxa"/>
            <w:left w:w="108" w:type="dxa"/>
            <w:bottom w:w="0" w:type="dxa"/>
            <w:right w:w="108" w:type="dxa"/>
          </w:tblCellMar>
        </w:tblPrEx>
        <w:trPr>
          <w:trHeight w:val="90"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符合以下三项中一项：</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1.DXA测定的中轴骨骨密度(腰椎或髋部)或桡骨远端1/3骨密度的T-值≤-2.5且伴有脆性骨折；</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无脆性骨折，但DXA测定的腰椎（测定L1-L4 全部四个椎体取均值）、股骨颈、全髋部骨密度中任一部位T-值≤-3.0。【若因脊柱退变、腹主动脉钙化、过度肥胖（BMI≥35 kg/</w:t>
            </w:r>
            <w:r>
              <w:rPr>
                <w:rFonts w:hint="default" w:ascii="Times New Roman" w:hAnsi="Times New Roman" w:eastAsia="方正仿宋_GBK" w:cs="方正仿宋_GBK"/>
                <w:color w:val="000000" w:themeColor="text1"/>
                <w:kern w:val="0"/>
                <w:szCs w:val="21"/>
                <w:lang w:val="en-US" w:eastAsia="zh-CN" w:bidi="ar"/>
                <w14:textFill>
                  <w14:solidFill>
                    <w14:schemeClr w14:val="tx1"/>
                  </w14:solidFill>
                </w14:textFill>
              </w:rPr>
              <w:t>㎡</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）或原发性甲状旁腺功能亢进等原因导致中轴骨（腰椎、股骨颈或全髋）无法测量或结果不可靠时，可取非优势侧桡骨远端1/3骨密度T-值≤-3.0作为诊断依据】；</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3.QCT腰椎骨密度≤80mg/cm</w:t>
            </w:r>
            <w:r>
              <w:rPr>
                <w:rStyle w:val="11"/>
                <w:rFonts w:ascii="Times New Roman" w:hAnsi="Times New Roman"/>
                <w:color w:val="000000" w:themeColor="text1"/>
                <w:sz w:val="21"/>
                <w:szCs w:val="21"/>
                <w:lang w:bidi="ar"/>
                <w14:textFill>
                  <w14:solidFill>
                    <w14:schemeClr w14:val="tx1"/>
                  </w14:solidFill>
                </w14:textFill>
              </w:rPr>
              <w:t>³</w:t>
            </w:r>
            <w:r>
              <w:rPr>
                <w:rFonts w:ascii="Times New Roman" w:hAnsi="Times New Roman" w:eastAsia="方正仿宋_GBK" w:cs="方正仿宋_GBK"/>
                <w:color w:val="000000" w:themeColor="text1"/>
                <w:kern w:val="0"/>
                <w:szCs w:val="21"/>
                <w:lang w:bidi="ar"/>
                <w14:textFill>
                  <w14:solidFill>
                    <w14:schemeClr w14:val="tx1"/>
                  </w14:solidFill>
                </w14:textFill>
              </w:rPr>
              <w:t>。</w:t>
            </w:r>
          </w:p>
        </w:tc>
      </w:tr>
      <w:tr>
        <w:tblPrEx>
          <w:tblCellMar>
            <w:top w:w="0" w:type="dxa"/>
            <w:left w:w="108" w:type="dxa"/>
            <w:bottom w:w="0" w:type="dxa"/>
            <w:right w:w="108" w:type="dxa"/>
          </w:tblCellMar>
        </w:tblPrEx>
        <w:trPr>
          <w:trHeight w:val="90"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骨健康基本补充剂</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抗骨质疏松药物</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双膦酸盐类</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治疗骨病的药物</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RANKL单抗</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XM05BX</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其他影响骨结构和矿化的药物</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降钙素类</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钙稳态药</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绝经激素（雌激素）</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XG03D</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孕激素类</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选择性雌激素受体调节剂类</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XG03X</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其他性激素和生殖系统调节药</w:t>
            </w:r>
          </w:p>
        </w:tc>
      </w:tr>
      <w:tr>
        <w:tblPrEx>
          <w:tblCellMar>
            <w:top w:w="0" w:type="dxa"/>
            <w:left w:w="108" w:type="dxa"/>
            <w:bottom w:w="0" w:type="dxa"/>
            <w:right w:w="108" w:type="dxa"/>
          </w:tblCellMar>
        </w:tblPrEx>
        <w:trPr>
          <w:trHeight w:val="90"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甲状旁腺激素测定</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250310009</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甲状旁腺激素测定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25羟维生素D测定</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25羟维生素D测定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骨代谢检测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250305013</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血清骨型碱性磷酸酶质量测定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250311005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I型胶原羧基端前肽(PICP)测定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250311005.10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I型胶原羧基端前肽(PICP)测定(I型胶原氨基端延长肽(PINP)测定)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250311006</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骨钙羧基N端中分子片段测定(N-MID)</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250311007</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β-胶原降解产物测定(β-CTX)</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X线（限病变部位）</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 w:val="24"/>
                <w14:textFill>
                  <w14:solidFill>
                    <w14:schemeClr w14:val="tx1"/>
                  </w14:solidFill>
                </w14:textFill>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5</w:t>
      </w:r>
      <w:r>
        <w:rPr>
          <w:rFonts w:ascii="Times New Roman" w:hAnsi="Times New Roman" w:eastAsia="黑体"/>
          <w:color w:val="000000" w:themeColor="text1"/>
          <w:sz w:val="30"/>
          <w:szCs w:val="30"/>
          <w14:textFill>
            <w14:solidFill>
              <w14:schemeClr w14:val="tx1"/>
            </w14:solidFill>
          </w14:textFill>
        </w:rPr>
        <w:t>.高血压</w:t>
      </w:r>
    </w:p>
    <w:tbl>
      <w:tblPr>
        <w:tblStyle w:val="4"/>
        <w:tblW w:w="8828" w:type="dxa"/>
        <w:tblInd w:w="93" w:type="dxa"/>
        <w:tblLayout w:type="fixed"/>
        <w:tblCellMar>
          <w:top w:w="0" w:type="dxa"/>
          <w:left w:w="108" w:type="dxa"/>
          <w:bottom w:w="0" w:type="dxa"/>
          <w:right w:w="108" w:type="dxa"/>
        </w:tblCellMar>
      </w:tblPr>
      <w:tblGrid>
        <w:gridCol w:w="713"/>
        <w:gridCol w:w="1228"/>
        <w:gridCol w:w="1546"/>
        <w:gridCol w:w="1949"/>
        <w:gridCol w:w="3392"/>
      </w:tblGrid>
      <w:tr>
        <w:tblPrEx>
          <w:tblCellMar>
            <w:top w:w="0" w:type="dxa"/>
            <w:left w:w="108" w:type="dxa"/>
            <w:bottom w:w="0" w:type="dxa"/>
            <w:right w:w="108" w:type="dxa"/>
          </w:tblCellMar>
        </w:tblPrEx>
        <w:trPr>
          <w:trHeight w:val="620"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E10.700x022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1型糖尿病性高血压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E10.700x023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1型糖尿病性肥胖症性高血压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E11.700x022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2型糖尿病性高血压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E11.700x023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2型糖尿病性肥胖症性高血压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E14.700x022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E14.700x023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糖尿病性肥胖症性高血压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E16.800x101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糖耐量受损伴肥胖型高血压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E16.800x102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糖耐量受损伴高血压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H35.004</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高血压性视网膜病变</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特发性（原发性）高血压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I10.x00x002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I10.x00x007</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老年收缩期高血压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I10.x00x009</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临界性高血压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I10.x00x015</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青春期高血压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高血压1级</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I10.x04</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高血压2级</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I10.x05</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高血压3级</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恶性高血压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I10.x06</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高血压危象</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I10.x08</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单纯收缩期高血压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I10.x09</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I10.x10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高血压急症</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I10.x12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难治性高血压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I10.x13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低肾素性高血压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I10.x14</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高血压亚急症</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I11.000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高血压心脏病伴有（充血性）心力衰竭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I11.001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高血压性心力衰竭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I11.002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高血压心脏病伴心力衰竭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I11.900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高血压心脏病不伴有（充血性）心力衰竭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I11.901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高血压性心脏病</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I12.000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高血压肾脏病伴有肾衰竭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I12.000x001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高血压性肾衰竭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I12.900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高血压肾脏病不伴有肾衰竭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I12.900x003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高血压性肾病</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I12.900x005</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肾萎缩伴高血压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I13.000x001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高血压性心脏病和肾脏病伴心力衰竭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I13.100x001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高血压性心脏病和肾脏病伴肾衰竭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I13.200x001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高血压性心脏病和肾脏病伴心力衰竭和肾衰竭</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I13.900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高血压心脏和肾脏病</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I13.900x001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高血压性心脏病和肾脏病</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I15.000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肾血管性高血压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I15.100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继发于其他肾疾患的高血压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I15.100x001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肾实质性高血压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I15.102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I15.103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肾萎缩性高血压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I15.200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继发于内分泌疾患的高血压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I15.200x001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原发性醛固酮增多症性高血压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I15.200x002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肾上腺皮质醇增多症性高血压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I15.200x003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肾上腺髓质增生性高血压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I15.200x004</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糖皮质激素增多综合征性高血压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I15.800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继发性高血压，其他的</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I15.800x001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口服避孕药性高血压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I15.800x002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大动脉炎性高血压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I15.800x003</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医源性高血压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I15.800x004</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围手术期高血压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I15.200x005</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嗜铬细胞瘤性高血压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I15.800x006</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阻塞性睡眠呼吸暂停低通气综合征性高血压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I15.900</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继发性高血压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I61.902</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高血压脑出血</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I67.400x001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高血压性脑病</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N28.900x017</w:t>
            </w:r>
          </w:p>
        </w:tc>
        <w:tc>
          <w:tcPr>
            <w:tcW w:w="339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高血压肾损害</w:t>
            </w:r>
          </w:p>
        </w:tc>
      </w:tr>
      <w:tr>
        <w:tblPrEx>
          <w:tblCellMar>
            <w:top w:w="0" w:type="dxa"/>
            <w:left w:w="108" w:type="dxa"/>
            <w:bottom w:w="0" w:type="dxa"/>
            <w:right w:w="108" w:type="dxa"/>
          </w:tblCellMar>
        </w:tblPrEx>
        <w:trPr>
          <w:trHeight w:val="5485" w:hRule="atLeast"/>
        </w:trPr>
        <w:tc>
          <w:tcPr>
            <w:tcW w:w="713" w:type="dxa"/>
            <w:tcBorders>
              <w:top w:val="single" w:color="auto" w:sz="4" w:space="0"/>
              <w:left w:val="single" w:color="auto" w:sz="4" w:space="0"/>
              <w:bottom w:val="single" w:color="auto" w:sz="4" w:space="0"/>
              <w:right w:val="single" w:color="auto" w:sz="4" w:space="0"/>
            </w:tcBorders>
            <w:shd w:val="clear" w:color="auto" w:fill="auto"/>
            <w:noWrap/>
            <w:vAlign w:val="top"/>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pPr>
          </w:p>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15"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widowControl/>
              <w:spacing w:line="340" w:lineRule="exact"/>
              <w:jc w:val="both"/>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1081405</wp:posOffset>
                  </wp:positionV>
                  <wp:extent cx="4143375" cy="2362200"/>
                  <wp:effectExtent l="0" t="0" r="9525" b="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4143375" cy="2362200"/>
                          </a:xfrm>
                          <a:prstGeom prst="rect">
                            <a:avLst/>
                          </a:prstGeom>
                          <a:noFill/>
                          <a:ln w="9525">
                            <a:noFill/>
                          </a:ln>
                        </pic:spPr>
                      </pic:pic>
                    </a:graphicData>
                  </a:graphic>
                </wp:anchor>
              </w:drawing>
            </w:r>
            <w:r>
              <w:rPr>
                <w:rFonts w:ascii="Times New Roman" w:hAnsi="Times New Roman" w:eastAsia="方正仿宋_GBK" w:cs="方正仿宋_GBK"/>
                <w:color w:val="000000" w:themeColor="text1"/>
                <w:kern w:val="0"/>
                <w:szCs w:val="21"/>
                <w:lang w:bidi="ar"/>
                <w14:textFill>
                  <w14:solidFill>
                    <w14:schemeClr w14:val="tx1"/>
                  </w14:solidFill>
                </w14:textFill>
              </w:rPr>
              <w:t>根据诊室血压、家庭血压</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（基于互联网的远程实时家庭血压监测）</w:t>
            </w:r>
            <w:r>
              <w:rPr>
                <w:rFonts w:ascii="Times New Roman" w:hAnsi="Times New Roman" w:eastAsia="方正仿宋_GBK" w:cs="方正仿宋_GBK"/>
                <w:color w:val="000000" w:themeColor="text1"/>
                <w:kern w:val="0"/>
                <w:szCs w:val="21"/>
                <w:lang w:bidi="ar"/>
                <w14:textFill>
                  <w14:solidFill>
                    <w14:schemeClr w14:val="tx1"/>
                  </w14:solidFill>
                </w14:textFill>
              </w:rPr>
              <w:t>和动态血压以及患者服药情况，高血压的定义如下：在未使用降压药的情况下，非同日3次测量诊室血压≥140/90 mmHg；或连续5～7d 测量家庭血压≥135/85 mmHg；或24h动态血压≥130/80 mmHg，白天血压≥135/85 mmHg，夜间血压≥120/70 mmHg。患者既往有高血压史，目前使用降压药，血压虽然低于上述诊断界值，仍应诊断为高血压。</w:t>
            </w:r>
          </w:p>
        </w:tc>
      </w:tr>
      <w:tr>
        <w:tblPrEx>
          <w:tblCellMar>
            <w:top w:w="0" w:type="dxa"/>
            <w:left w:w="108" w:type="dxa"/>
            <w:bottom w:w="0" w:type="dxa"/>
            <w:right w:w="108" w:type="dxa"/>
          </w:tblCellMar>
        </w:tblPrEx>
        <w:trPr>
          <w:trHeight w:val="91"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3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XC03A</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低效利尿药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XC03C</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高效利尿药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XC03D</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保钾利尿药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XC02L</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抗高血压药与利尿药的复方制剂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XC07AB</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选择性β-受体阻滞剂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XC07AG</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α和β-受体阻滞剂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XC07FB</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其他β-受体阻滞剂复方制剂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α受体阻滞剂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XG04C</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良性前列腺肥大用药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外周血管扩张剂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XC04</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周围血管扩张药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钙通道阻滞剂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XC08C</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主要作用于血管的选择性钙通道阻滞剂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XC08CA</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二氢吡啶衍生物类</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XC08D</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直接作用于心脏的选择性钙通道阻滞剂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ACEI（血管紧张素转换酶抑制剂）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XC09A</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血管紧张素转换酶抑制剂的单方药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XC09B</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血管紧张素转换酶抑制剂的复方制剂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ARB（血管紧张素Ⅱ受体拮抗剂）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XC09C</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血管紧张素Ⅱ拮抗剂的单方药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XC09D</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血管紧张素Ⅱ拮抗剂的复方制剂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降血脂药</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抗高血压药</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XC02A</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中枢作用的抗肾上腺素能药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并发症（高血压心脏病、眼底病变、房颤</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、肾病</w:t>
            </w:r>
            <w:r>
              <w:rPr>
                <w:rFonts w:ascii="Times New Roman" w:hAnsi="Times New Roman" w:eastAsia="方正仿宋_GBK" w:cs="方正仿宋_GBK"/>
                <w:color w:val="000000" w:themeColor="text1"/>
                <w:kern w:val="0"/>
                <w:szCs w:val="21"/>
                <w:lang w:bidi="ar"/>
                <w14:textFill>
                  <w14:solidFill>
                    <w14:schemeClr w14:val="tx1"/>
                  </w14:solidFill>
                </w14:textFill>
              </w:rPr>
              <w:t>）的对症治疗</w:t>
            </w:r>
          </w:p>
        </w:tc>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抗心律失常药</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XC01B</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Ⅰ类和Ⅲ类的抗心律失常药</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抗心衰药</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抗凝药物（限房颤）</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1"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3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250307006</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250307009</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CEHP1000</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脂蛋白a(LPa)测定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心脏彩超</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血压</w:t>
            </w:r>
          </w:p>
        </w:tc>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动态血压监测（限高血压急症、危象）</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310701021</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动态血压监测</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颈动脉</w:t>
            </w:r>
          </w:p>
        </w:tc>
        <w:tc>
          <w:tcPr>
            <w:tcW w:w="15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颈部血管超声（限颈部血管斑块患者）</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220302003</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颈部血管彩色多普勒超声</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220302003.10</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颈部血管彩色多普勒超声(颈动脉)</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220302003.20</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颈部血管彩色多普勒超声(颈静脉)</w:t>
            </w:r>
          </w:p>
        </w:tc>
      </w:tr>
      <w:tr>
        <w:tblPrEx>
          <w:tblCellMar>
            <w:top w:w="0" w:type="dxa"/>
            <w:left w:w="108" w:type="dxa"/>
            <w:bottom w:w="0" w:type="dxa"/>
            <w:right w:w="108" w:type="dxa"/>
          </w:tblCellMar>
        </w:tblPrEx>
        <w:trPr>
          <w:trHeight w:val="91"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220302003.30</w:t>
            </w:r>
          </w:p>
        </w:tc>
        <w:tc>
          <w:tcPr>
            <w:tcW w:w="3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颈部血管彩色多普勒超声(椎动脉)</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6</w:t>
      </w:r>
      <w:r>
        <w:rPr>
          <w:rFonts w:ascii="Times New Roman" w:hAnsi="Times New Roman" w:eastAsia="黑体"/>
          <w:color w:val="000000" w:themeColor="text1"/>
          <w:sz w:val="30"/>
          <w:szCs w:val="30"/>
          <w14:textFill>
            <w14:solidFill>
              <w14:schemeClr w14:val="tx1"/>
            </w14:solidFill>
          </w14:textFill>
        </w:rPr>
        <w:t>.糖尿病</w:t>
      </w:r>
    </w:p>
    <w:tbl>
      <w:tblPr>
        <w:tblStyle w:val="4"/>
        <w:tblW w:w="8828" w:type="dxa"/>
        <w:tblInd w:w="93" w:type="dxa"/>
        <w:tblLayout w:type="fixed"/>
        <w:tblCellMar>
          <w:top w:w="0" w:type="dxa"/>
          <w:left w:w="108" w:type="dxa"/>
          <w:bottom w:w="0" w:type="dxa"/>
          <w:right w:w="108" w:type="dxa"/>
        </w:tblCellMar>
      </w:tblPr>
      <w:tblGrid>
        <w:gridCol w:w="831"/>
        <w:gridCol w:w="1237"/>
        <w:gridCol w:w="1378"/>
        <w:gridCol w:w="2394"/>
        <w:gridCol w:w="2988"/>
      </w:tblGrid>
      <w:tr>
        <w:tblPrEx>
          <w:tblCellMar>
            <w:top w:w="0" w:type="dxa"/>
            <w:left w:w="108" w:type="dxa"/>
            <w:bottom w:w="0" w:type="dxa"/>
            <w:right w:w="108" w:type="dxa"/>
          </w:tblCellMar>
        </w:tblPrEx>
        <w:trPr>
          <w:trHeight w:val="288" w:hRule="atLeast"/>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E10.900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1型糖尿病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E10.901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成人隐匿性自身免疫性糖尿病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E11.900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2型糖尿病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E13.902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线粒体糖尿病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E13.903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类固醇性糖尿病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E13.907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继发性糖尿病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E14.200x210+N08.3*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糖尿病性肾病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E14.300x071+H36.0*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糖尿病性视网膜病变</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E14.400x023+G63.2*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糖尿病性周围神经病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E14.400x312+G99.0*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糖尿病性自主神经病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E14.400x370+G99.0*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糖尿病性胃轻瘫</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E14.400x381+N33.8*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糖尿病神经源性膀胱炎</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E14.500x011+I79.2*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糖尿病性周围血管病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E14.500x050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糖尿病足</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E14.900x001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w:t>
            </w:r>
          </w:p>
        </w:tc>
      </w:tr>
      <w:tr>
        <w:tblPrEx>
          <w:tblCellMar>
            <w:top w:w="0" w:type="dxa"/>
            <w:left w:w="108" w:type="dxa"/>
            <w:bottom w:w="0" w:type="dxa"/>
            <w:right w:w="108" w:type="dxa"/>
          </w:tblCellMar>
        </w:tblPrEx>
        <w:trPr>
          <w:trHeight w:val="91"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符合以下三项中一项：</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一、有糖尿病症状＋具备以下任何一项者：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（一）一日中任何时候血糖≥11.1mmoL/L者；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（二）空腹血糖≥7.0mmoL/L者；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（三）空腹血糖＜7.0mmoL/L，但OGTT口服75g葡萄糖耐量试验2小时血糖</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t>11.1mmoL/L者。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二、若无糖尿病症状，重复检查（一）、（二）、（三）项，符合其中一项。</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三、糖化血红蛋白≥6.5%。</w:t>
            </w:r>
          </w:p>
        </w:tc>
      </w:tr>
      <w:tr>
        <w:tblPrEx>
          <w:tblCellMar>
            <w:top w:w="0" w:type="dxa"/>
            <w:left w:w="108" w:type="dxa"/>
            <w:bottom w:w="0" w:type="dxa"/>
            <w:right w:w="108" w:type="dxa"/>
          </w:tblCellMar>
        </w:tblPrEx>
        <w:trPr>
          <w:trHeight w:val="91" w:hRule="atLeast"/>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3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病因治疗</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胰岛素</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XA10A</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胰岛素及其类似药物</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降糖药</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降血糖药物，不含胰岛素</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降脂药</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糖尿病并发症（如糖尿病肾病、糖尿病视网膜病变、糖尿病神经病变、糖尿病足等）的对症治疗</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XC03D</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保钾利尿药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其他的糖尿病用药</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XA10X</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其他的糖尿病用药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其他营养剂-复方α-酮酸</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其他营养剂</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甲钴胺、腺苷钴胺</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血管紧张素Ⅱ拮抗剂的单方药</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XC09C</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血管紧张素Ⅱ拮抗剂的单方药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其他眼科用药</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XS01X</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其他眼科用药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胃肠动力药</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XA03F</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胃肠动力药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其他解热镇痛药（限成人糖尿病性周围神经病理性疼痛）</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XN02BG</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其他解热镇痛药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23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7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胰激肽原酶</w:t>
            </w:r>
          </w:p>
        </w:tc>
        <w:tc>
          <w:tcPr>
            <w:tcW w:w="239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XC04</w:t>
            </w:r>
          </w:p>
        </w:tc>
        <w:tc>
          <w:tcPr>
            <w:tcW w:w="298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周围血管扩张药</w:t>
            </w:r>
          </w:p>
        </w:tc>
      </w:tr>
      <w:tr>
        <w:tblPrEx>
          <w:tblCellMar>
            <w:top w:w="0" w:type="dxa"/>
            <w:left w:w="108" w:type="dxa"/>
            <w:bottom w:w="0" w:type="dxa"/>
            <w:right w:w="108" w:type="dxa"/>
          </w:tblCellMar>
        </w:tblPrEx>
        <w:trPr>
          <w:trHeight w:val="91" w:hRule="atLeast"/>
        </w:trPr>
        <w:tc>
          <w:tcPr>
            <w:tcW w:w="831" w:type="dxa"/>
            <w:vMerge w:val="restart"/>
            <w:tcBorders>
              <w:top w:val="single" w:color="auto"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615" w:type="dxa"/>
            <w:gridSpan w:val="2"/>
            <w:tcBorders>
              <w:top w:val="single" w:color="auto"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394" w:type="dxa"/>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88" w:type="dxa"/>
            <w:tcBorders>
              <w:top w:val="single" w:color="auto" w:sz="4" w:space="0"/>
              <w:left w:val="single" w:color="000000" w:sz="4" w:space="0"/>
              <w:bottom w:val="single" w:color="000000" w:sz="4" w:space="0"/>
              <w:right w:val="single" w:color="auto"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310205008</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电脑血糖监测</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糖化血红蛋白</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250302003</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糖化血红蛋白测定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血清胰岛素测定</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250310039</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血清胰岛素测定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血清C肽测定</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250310041</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血清C肽测定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98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auto"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restart"/>
            <w:tcBorders>
              <w:top w:val="single" w:color="000000" w:sz="4" w:space="0"/>
              <w:left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239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250102001</w:t>
            </w:r>
          </w:p>
        </w:tc>
        <w:tc>
          <w:tcPr>
            <w:tcW w:w="2988"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尿常规检查</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auto"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p>
        </w:tc>
        <w:tc>
          <w:tcPr>
            <w:tcW w:w="239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2988"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9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88"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31" w:type="dxa"/>
            <w:vMerge w:val="continue"/>
            <w:tcBorders>
              <w:top w:val="single" w:color="auto" w:sz="4" w:space="0"/>
              <w:left w:val="single" w:color="auto" w:sz="4" w:space="0"/>
              <w:bottom w:val="single" w:color="000000"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vMerge w:val="continue"/>
            <w:tcBorders>
              <w:top w:val="single" w:color="auto" w:sz="4" w:space="0"/>
              <w:left w:val="single" w:color="auto"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39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88"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尿微量白蛋白/尿肌酐检查</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神经传导速度测定（限糖尿病周围神经病变）</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神经传导速度测定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四肢多普勒血流图（限糖尿病足）</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220400002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四肢多普勒血流图</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血流OCT/黄斑OCT（限糖尿病视网膜病变）</w:t>
            </w:r>
          </w:p>
        </w:tc>
        <w:tc>
          <w:tcPr>
            <w:tcW w:w="2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310300064</w:t>
            </w:r>
          </w:p>
        </w:tc>
        <w:tc>
          <w:tcPr>
            <w:tcW w:w="29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光学相干断层成像（OCT）</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眼底血管造影（限糖尿病视网膜病变）</w:t>
            </w:r>
          </w:p>
        </w:tc>
        <w:tc>
          <w:tcPr>
            <w:tcW w:w="2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310300054</w:t>
            </w:r>
          </w:p>
        </w:tc>
        <w:tc>
          <w:tcPr>
            <w:tcW w:w="29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眼底血管造影</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眼底照像（限糖尿病视网膜病变）</w:t>
            </w:r>
          </w:p>
        </w:tc>
        <w:tc>
          <w:tcPr>
            <w:tcW w:w="2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310300053</w:t>
            </w:r>
          </w:p>
        </w:tc>
        <w:tc>
          <w:tcPr>
            <w:tcW w:w="29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眼底照相</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限糖尿病视网膜病变（重度非增殖期及以上）</w:t>
            </w:r>
          </w:p>
        </w:tc>
        <w:tc>
          <w:tcPr>
            <w:tcW w:w="2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310300080</w:t>
            </w:r>
          </w:p>
        </w:tc>
        <w:tc>
          <w:tcPr>
            <w:tcW w:w="29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视网膜激光光凝术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眼底检查（限糖尿病视网膜病变）</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眼底检查</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7</w:t>
      </w:r>
      <w:r>
        <w:rPr>
          <w:rFonts w:ascii="Times New Roman" w:hAnsi="Times New Roman" w:eastAsia="黑体"/>
          <w:color w:val="000000" w:themeColor="text1"/>
          <w:sz w:val="30"/>
          <w:szCs w:val="30"/>
          <w14:textFill>
            <w14:solidFill>
              <w14:schemeClr w14:val="tx1"/>
            </w14:solidFill>
          </w14:textFill>
        </w:rPr>
        <w:t>.甲亢</w:t>
      </w:r>
    </w:p>
    <w:tbl>
      <w:tblPr>
        <w:tblStyle w:val="4"/>
        <w:tblW w:w="8691" w:type="dxa"/>
        <w:tblInd w:w="93" w:type="dxa"/>
        <w:tblLayout w:type="fixed"/>
        <w:tblCellMar>
          <w:top w:w="0" w:type="dxa"/>
          <w:left w:w="108" w:type="dxa"/>
          <w:bottom w:w="0" w:type="dxa"/>
          <w:right w:w="108" w:type="dxa"/>
        </w:tblCellMar>
      </w:tblPr>
      <w:tblGrid>
        <w:gridCol w:w="683"/>
        <w:gridCol w:w="1913"/>
        <w:gridCol w:w="2409"/>
        <w:gridCol w:w="3686"/>
      </w:tblGrid>
      <w:tr>
        <w:tblPrEx>
          <w:tblCellMar>
            <w:top w:w="0" w:type="dxa"/>
            <w:left w:w="108" w:type="dxa"/>
            <w:bottom w:w="0" w:type="dxa"/>
            <w:right w:w="108" w:type="dxa"/>
          </w:tblCellMar>
        </w:tblPrEx>
        <w:trPr>
          <w:trHeight w:val="5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甲亢</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E05.001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弥漫性甲状腺肿伴甲状腺功能亢进症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E05.002+H06.2*</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甲状腺功能障碍性突眼</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E05.001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弥漫性甲状腺肿伴甲状腺功能亢进症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E05.202</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结节性甲状腺肿伴甲状腺功能亢进症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E05.200x004</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高功能腺瘤伴甲状腺功能亢进症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E05.202</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结节性甲状腺肿伴甲状腺功能亢进症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E05.203</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自主性高功能性甲状腺腺瘤伴甲状腺功能亢进症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E05.802</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碘原性甲状腺功能亢进症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E05.804</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药物性甲状腺功能亢进症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E05.805</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E05.900x001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甲状腺功能亢进症</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E05.900x002+G73.0*</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甲状腺功能亢进症合并周期性麻痹</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E05.904+G73.5*</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甲状腺功能亢进性肌病</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E05.903+I43.8*</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甲状腺功能亢进性心脏病</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F06.800x013</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甲状腺功能亢进所致精神障碍</w:t>
            </w:r>
          </w:p>
        </w:tc>
      </w:tr>
      <w:tr>
        <w:tblPrEx>
          <w:tblCellMar>
            <w:top w:w="0" w:type="dxa"/>
            <w:left w:w="108" w:type="dxa"/>
            <w:bottom w:w="0" w:type="dxa"/>
            <w:right w:w="108" w:type="dxa"/>
          </w:tblCellMar>
        </w:tblPrEx>
        <w:trPr>
          <w:trHeight w:val="9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一、临床表现：有甲状腺毒症。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二、体征：甲状腺肿大（可伴血管杂音）；甲状腺相关眼病表现；胫前粘液性水肿或类杵状指等。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三、血清游离甲状腺激素（FT4或FT3）水平增加，血清超敏促甲状腺素（TSH）水平降低。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其中第三条为必备条件。</w:t>
            </w:r>
          </w:p>
        </w:tc>
      </w:tr>
      <w:tr>
        <w:tblPrEx>
          <w:tblCellMar>
            <w:top w:w="0" w:type="dxa"/>
            <w:left w:w="108" w:type="dxa"/>
            <w:bottom w:w="0" w:type="dxa"/>
            <w:right w:w="108" w:type="dxa"/>
          </w:tblCellMar>
        </w:tblPrEx>
        <w:trPr>
          <w:trHeight w:val="9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甲状腺手术或同位素131I治疗以后出现的甲减</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XH03A</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甲状腺制剂</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抗甲状腺药物治疗</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XH03B</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抗甲状腺制剂</w:t>
            </w:r>
          </w:p>
        </w:tc>
      </w:tr>
      <w:tr>
        <w:tblPrEx>
          <w:tblCellMar>
            <w:top w:w="0" w:type="dxa"/>
            <w:left w:w="108" w:type="dxa"/>
            <w:bottom w:w="0" w:type="dxa"/>
            <w:right w:w="108" w:type="dxa"/>
          </w:tblCellMar>
        </w:tblPrEx>
        <w:trPr>
          <w:trHeight w:val="9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19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血清TT4</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TT3</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FT4</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FT3</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TSH</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TRAb</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250310017</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促甲状腺素受体抗体测定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TGAb</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250402017</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抗甲状腺球蛋白抗体测定(TGAb)</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TPOAb</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250402058</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甲状腺过氧化物酶抗体测定</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甲状腺超声</w:t>
            </w: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220201007.04</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浅表组织器官B超检查(甲状腺及颈部淋巴结)</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220301002.04</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浅表器官彩色多普勒超声检查(甲状腺及颈部淋巴结)</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心脏超声（限甲状腺功能亢进性心脏病）</w:t>
            </w: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220600004.01</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心脏彩色多普勒超声(同时做左心功能测定加收)</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眼部CT（限严重突眼者）</w:t>
            </w: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210300001.02</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X线计算机体层(CT)平扫(眼眶)</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210300002.02</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(CT)平扫基础上做增强扫描(眼眶)</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EBAEA001</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眼部X线计算机体层(CT)平扫</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EBBEA001</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眼部X线计算机体层(CT)增强扫描</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眼部MRI（限严重突眼者）</w:t>
            </w: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w:t>
            </w:r>
          </w:p>
        </w:tc>
      </w:tr>
      <w:tr>
        <w:tblPrEx>
          <w:tblCellMar>
            <w:top w:w="0" w:type="dxa"/>
            <w:left w:w="108" w:type="dxa"/>
            <w:bottom w:w="0" w:type="dxa"/>
            <w:right w:w="108" w:type="dxa"/>
          </w:tblCellMar>
        </w:tblPrEx>
        <w:trPr>
          <w:trHeight w:val="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ECAEB001</w:t>
            </w:r>
          </w:p>
        </w:tc>
        <w:tc>
          <w:tcPr>
            <w:tcW w:w="3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眶磁共振成像</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8</w:t>
      </w:r>
      <w:r>
        <w:rPr>
          <w:rFonts w:ascii="Times New Roman" w:hAnsi="Times New Roman" w:eastAsia="黑体"/>
          <w:color w:val="000000" w:themeColor="text1"/>
          <w:sz w:val="30"/>
          <w:szCs w:val="30"/>
          <w14:textFill>
            <w14:solidFill>
              <w14:schemeClr w14:val="tx1"/>
            </w14:solidFill>
          </w14:textFill>
        </w:rPr>
        <w:t>.冠心病</w:t>
      </w:r>
    </w:p>
    <w:tbl>
      <w:tblPr>
        <w:tblStyle w:val="4"/>
        <w:tblW w:w="8691" w:type="dxa"/>
        <w:tblInd w:w="93" w:type="dxa"/>
        <w:tblLayout w:type="fixed"/>
        <w:tblCellMar>
          <w:top w:w="0" w:type="dxa"/>
          <w:left w:w="108" w:type="dxa"/>
          <w:bottom w:w="0" w:type="dxa"/>
          <w:right w:w="108" w:type="dxa"/>
        </w:tblCellMar>
      </w:tblPr>
      <w:tblGrid>
        <w:gridCol w:w="787"/>
        <w:gridCol w:w="2264"/>
        <w:gridCol w:w="1665"/>
        <w:gridCol w:w="3975"/>
      </w:tblGrid>
      <w:tr>
        <w:tblPrEx>
          <w:tblCellMar>
            <w:top w:w="0" w:type="dxa"/>
            <w:left w:w="108" w:type="dxa"/>
            <w:bottom w:w="0" w:type="dxa"/>
            <w:right w:w="108" w:type="dxa"/>
          </w:tblCellMar>
        </w:tblPrEx>
        <w:trPr>
          <w:trHeight w:val="202"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2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冠心病</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I25.103</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冠状动脉粥样硬化性心脏病</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I25.600x001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隐匿性冠状动脉粥样硬化性心脏病</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I21.905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冠状动脉栓塞伴心肌梗死</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I21.906</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冠状动脉血栓形成伴心肌梗死</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36.090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冠状动脉球囊扩张及支架植入</w:t>
            </w:r>
          </w:p>
        </w:tc>
      </w:tr>
      <w:tr>
        <w:tblPrEx>
          <w:tblCellMar>
            <w:top w:w="0" w:type="dxa"/>
            <w:left w:w="108" w:type="dxa"/>
            <w:bottom w:w="0" w:type="dxa"/>
            <w:right w:w="108" w:type="dxa"/>
          </w:tblCellMar>
        </w:tblPrEx>
        <w:trPr>
          <w:trHeight w:val="91"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具有心绞痛的临床表现，或有静息性缺血性心电图改变或动态心电图改变有缺血，或运动试验阳性。且必须具备以下三条之一者。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一、冠状动脉造影或冠状动脉CTA，狭窄≥50%。</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二、有明确急性心肌梗死病史（需有相关诊断依据）。</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三、经冠状动脉腔内影像学（IVUS、OCT等）证实存在易损或破裂斑块存在。</w:t>
            </w:r>
          </w:p>
        </w:tc>
      </w:tr>
      <w:tr>
        <w:tblPrEx>
          <w:tblCellMar>
            <w:top w:w="0" w:type="dxa"/>
            <w:left w:w="108" w:type="dxa"/>
            <w:bottom w:w="0" w:type="dxa"/>
            <w:right w:w="108" w:type="dxa"/>
          </w:tblCellMar>
        </w:tblPrEx>
        <w:trPr>
          <w:trHeight w:val="91"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冠状动脉扩张剂</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XC01D</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用于心脏疾患的血管扩张药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抗心绞痛药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钙通道阻滞剂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抗凝治疗药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抗血小板聚集药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抗心衰药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抗心律失常药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XC01B</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Ⅰ类和Ⅲ类的抗心律失常药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XC09A</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血管紧张素转换酶抑制剂的单方药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XC09B</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血管紧张素转换酶抑制剂的复方制剂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XC09C</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血管紧张素Ⅱ拮抗剂的单方药</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XC09D</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血管紧张素Ⅱ拮抗剂的复方制剂</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r>
      <w:tr>
        <w:tblPrEx>
          <w:tblCellMar>
            <w:top w:w="0" w:type="dxa"/>
            <w:left w:w="108" w:type="dxa"/>
            <w:bottom w:w="0" w:type="dxa"/>
            <w:right w:w="108" w:type="dxa"/>
          </w:tblCellMar>
        </w:tblPrEx>
        <w:trPr>
          <w:trHeight w:val="91"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2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9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CEHP1000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脂蛋白a(LPa)测定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心肌酶谱</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血清肌酸激酶－MB同工酶活性测定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肌钙蛋白</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250306008</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血清肌钙蛋白T测定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250306009</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血清肌钙蛋白Ⅰ测定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血清肌红蛋白测定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凝血功能</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心电图（常规、动态）</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310701007</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心电事件记录</w:t>
            </w:r>
          </w:p>
        </w:tc>
      </w:tr>
      <w:tr>
        <w:tblPrEx>
          <w:tblCellMar>
            <w:top w:w="0" w:type="dxa"/>
            <w:left w:w="108" w:type="dxa"/>
            <w:bottom w:w="0" w:type="dxa"/>
            <w:right w:w="108" w:type="dxa"/>
          </w:tblCellMar>
        </w:tblPrEx>
        <w:trPr>
          <w:trHeight w:val="91"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9</w:t>
      </w:r>
      <w:r>
        <w:rPr>
          <w:rFonts w:ascii="Times New Roman" w:hAnsi="Times New Roman" w:eastAsia="黑体"/>
          <w:color w:val="000000" w:themeColor="text1"/>
          <w:sz w:val="30"/>
          <w:szCs w:val="30"/>
          <w14:textFill>
            <w14:solidFill>
              <w14:schemeClr w14:val="tx1"/>
            </w14:solidFill>
          </w14:textFill>
        </w:rPr>
        <w:t>.风湿性心瓣膜病</w:t>
      </w:r>
    </w:p>
    <w:tbl>
      <w:tblPr>
        <w:tblStyle w:val="4"/>
        <w:tblW w:w="8691" w:type="dxa"/>
        <w:tblInd w:w="93" w:type="dxa"/>
        <w:tblLayout w:type="fixed"/>
        <w:tblCellMar>
          <w:top w:w="0" w:type="dxa"/>
          <w:left w:w="108" w:type="dxa"/>
          <w:bottom w:w="0" w:type="dxa"/>
          <w:right w:w="108" w:type="dxa"/>
        </w:tblCellMar>
      </w:tblPr>
      <w:tblGrid>
        <w:gridCol w:w="743"/>
        <w:gridCol w:w="2955"/>
        <w:gridCol w:w="1950"/>
        <w:gridCol w:w="3043"/>
      </w:tblGrid>
      <w:tr>
        <w:tblPrEx>
          <w:tblCellMar>
            <w:top w:w="0" w:type="dxa"/>
            <w:left w:w="108" w:type="dxa"/>
            <w:bottom w:w="0" w:type="dxa"/>
            <w:right w:w="108" w:type="dxa"/>
          </w:tblCellMar>
        </w:tblPrEx>
        <w:trPr>
          <w:trHeight w:val="489"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风湿性心瓣膜病</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I09.900</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风湿性心脏病</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I09.800</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风湿性心脏病，其他特指的</w:t>
            </w:r>
          </w:p>
        </w:tc>
      </w:tr>
      <w:tr>
        <w:tblPrEx>
          <w:tblCellMar>
            <w:top w:w="0" w:type="dxa"/>
            <w:left w:w="108" w:type="dxa"/>
            <w:bottom w:w="0" w:type="dxa"/>
            <w:right w:w="108" w:type="dxa"/>
          </w:tblCellMar>
        </w:tblPrEx>
        <w:trPr>
          <w:trHeight w:val="91"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必须具备超声心动图的诊断标准：有风心病特异性瓣膜改变。可见二尖瓣、主动脉瓣、三尖瓣病变；由于瓣膜交界处融合、粘连，瓣膜增厚、变硬、钙化，使瓣膜狭窄、关闭不全，或狭窄伴关闭不全；可见心房或心室肥大。</w:t>
            </w:r>
          </w:p>
        </w:tc>
      </w:tr>
      <w:tr>
        <w:tblPrEx>
          <w:tblCellMar>
            <w:top w:w="0" w:type="dxa"/>
            <w:left w:w="108" w:type="dxa"/>
            <w:bottom w:w="0" w:type="dxa"/>
            <w:right w:w="108" w:type="dxa"/>
          </w:tblCellMar>
        </w:tblPrEx>
        <w:trPr>
          <w:trHeight w:val="91"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0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抗风湿热药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抗感染类药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XJ01C</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β-内酰胺类抗菌药，青霉素类</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XC09A</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血管紧张素转换酶抑制剂的单方药</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XC09B</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血管紧张素转换酶抑制剂的复方制剂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XC09C</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血管紧张素Ⅱ拮抗剂的单方药</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XC09D</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血管紧张素Ⅱ拮抗剂的复方制剂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其他心脏疾病用药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XC01E</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其他心脏疾病用药</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抗凝治疗药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抗血小板聚集药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抗心衰药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心脏疾患的血管扩张药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XC01D</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心脏疾患的血管扩张药</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抗心律失常药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XC01B</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Ⅰ类和Ⅲ类的抗心律失常药</w:t>
            </w:r>
          </w:p>
        </w:tc>
      </w:tr>
      <w:tr>
        <w:tblPrEx>
          <w:tblCellMar>
            <w:top w:w="0" w:type="dxa"/>
            <w:left w:w="108" w:type="dxa"/>
            <w:bottom w:w="0" w:type="dxa"/>
            <w:right w:w="108" w:type="dxa"/>
          </w:tblCellMar>
        </w:tblPrEx>
        <w:trPr>
          <w:trHeight w:val="91" w:hRule="atLeast"/>
        </w:trPr>
        <w:tc>
          <w:tcPr>
            <w:tcW w:w="743" w:type="dxa"/>
            <w:vMerge w:val="restart"/>
            <w:tcBorders>
              <w:top w:val="nil"/>
              <w:left w:val="single" w:color="auto"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0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04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凝血功能</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043" w:type="dxa"/>
            <w:tcBorders>
              <w:top w:val="single" w:color="auto" w:sz="4" w:space="0"/>
              <w:left w:val="single" w:color="000000" w:sz="4" w:space="0"/>
              <w:bottom w:val="single" w:color="auto" w:sz="4" w:space="0"/>
              <w:right w:val="single" w:color="auto"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auto"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043" w:type="dxa"/>
            <w:tcBorders>
              <w:top w:val="single" w:color="auto"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抗链球菌溶血素测定</w:t>
            </w:r>
          </w:p>
        </w:tc>
        <w:tc>
          <w:tcPr>
            <w:tcW w:w="1950"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250403043</w:t>
            </w:r>
          </w:p>
        </w:tc>
        <w:tc>
          <w:tcPr>
            <w:tcW w:w="3043"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抗链球菌溶血素测定(ASO)</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心肌酶谱</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250306001</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250306002</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血清肌酸激酶－MB同工酶活性测定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肌钙蛋白</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250306008</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血清肌钙蛋白T测定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250306009</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血清肌钙蛋白Ⅰ测定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250306010</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血清肌红蛋白测定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BNP (NT-pro BNP)</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250306013</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B型钠尿肽前体(PRO-BNP)测定</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血沉</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250101008</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红细胞沉降率测定(ESR)</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心电图（常规、动态）</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310701003</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动态心电图</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743" w:type="dxa"/>
            <w:vMerge w:val="continue"/>
            <w:tcBorders>
              <w:top w:val="nil"/>
              <w:left w:val="single" w:color="auto"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0" w:type="dxa"/>
            <w:tcBorders>
              <w:top w:val="nil"/>
              <w:left w:val="nil"/>
              <w:bottom w:val="single" w:color="000000" w:sz="4" w:space="0"/>
              <w:right w:val="nil"/>
            </w:tcBorders>
            <w:shd w:val="clear" w:color="auto" w:fill="auto"/>
            <w:noWrap/>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220700006</w:t>
            </w:r>
          </w:p>
        </w:tc>
        <w:tc>
          <w:tcPr>
            <w:tcW w:w="30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室壁运动分析</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0.肝硬化</w:t>
      </w:r>
    </w:p>
    <w:tbl>
      <w:tblPr>
        <w:tblStyle w:val="4"/>
        <w:tblW w:w="8828" w:type="dxa"/>
        <w:tblInd w:w="93" w:type="dxa"/>
        <w:tblLayout w:type="fixed"/>
        <w:tblCellMar>
          <w:top w:w="0" w:type="dxa"/>
          <w:left w:w="108" w:type="dxa"/>
          <w:bottom w:w="0" w:type="dxa"/>
          <w:right w:w="108" w:type="dxa"/>
        </w:tblCellMar>
      </w:tblPr>
      <w:tblGrid>
        <w:gridCol w:w="758"/>
        <w:gridCol w:w="553"/>
        <w:gridCol w:w="1982"/>
        <w:gridCol w:w="2040"/>
        <w:gridCol w:w="3495"/>
      </w:tblGrid>
      <w:tr>
        <w:tblPrEx>
          <w:tblCellMar>
            <w:top w:w="0" w:type="dxa"/>
            <w:left w:w="108" w:type="dxa"/>
            <w:bottom w:w="0" w:type="dxa"/>
            <w:right w:w="108" w:type="dxa"/>
          </w:tblCellMar>
        </w:tblPrEx>
        <w:trPr>
          <w:trHeight w:val="90"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K74.608</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肝炎后肝硬化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K74.200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肝纤维化伴有肝硬化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K74.300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原发性胆汁型肝硬化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K74.300x005+I98.2*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原发性胆汁型肝硬化伴胃底静脉曲张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K74.300x006+I98.3*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原发性胆汁型肝硬化伴胃底静脉曲张破裂出血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K74.300x007+I98.2*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原发性胆汁型肝硬化伴食管胃底静脉曲张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K74.300x008+I98.3*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原发性胆汁型肝硬化伴食管胃底静脉曲张破裂出血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K74.301+I98.2*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原发性胆汁性肝硬化伴食管静脉曲张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K74.302+I98.3*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原发性胆汁性肝硬化伴食管静脉曲张破裂出血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K74.400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继发性胆汁型肝硬化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K74.500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胆汁型肝硬化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肝硬变</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K74.600x003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K74.600x021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乙肝后肝硬化合并甲肝感染</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混合型肝硬化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K74.600x025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乙肝后肝硬化合并戊肝感染</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K74.600x027</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丙肝后肝硬化合并戊肝感染</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K74.600x029</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乙丙肝炎后肝硬化合并甲肝感染</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K74.600x030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乙丁肝炎后肝硬化合并甲肝感染</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K74.600x031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乙肝后肝硬化甲戊肝感染</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K74.600x034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乙丙肝炎后肝硬化合并戊肝感染</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自身免疫性肝硬化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特指肝硬化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乙型肝炎后肝硬化失代偿期</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丙型肝炎后肝硬化失代偿期</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自身免疫性肝炎后肝硬化失代偿期</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肝炎后肝硬化失代偿期</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混合型肝硬化失代偿期</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K74.607</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肝硬化失代偿期</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结节性肝硬化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门脉性肝硬化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隐源性肝硬化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K74.615+I98.3*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肝硬化伴食管静脉曲张破裂出血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K74.616+I98.2*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肝硬化伴食管静脉曲张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K74.617+I98.3*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肝硬化伴食管胃底静脉曲张破裂出血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K74.618+I98.3*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肝硬化伴胃底静脉曲张破裂出血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K74.619+I98.2*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肝硬化伴食管胃底静脉曲张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K74.620+I98.2*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肝硬化伴胃底静脉曲张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B65.202+K77.0*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血吸虫病性肝硬化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K76.101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心源性肝硬化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P78.803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先天性肝硬化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A52.705+K77.0*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梅毒性肝硬化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K70.200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酒精性肝纤维化和肝硬化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K70.201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酒精性肝纤维化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K70.300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K70.303+I98.2*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酒精性肝硬化伴胃底静脉曲张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K70.305+I98.3*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酒精性肝硬化伴胃底静脉曲张破裂出血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K70.304+I98.2*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酒精性肝硬化伴食管胃底静脉曲张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K70.306+I98.3*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酒精性肝硬化伴食管胃底静脉曲张破裂出血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K70.301+I98.2*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酒精性肝硬化伴食管静脉曲张</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K70.302+I98.3*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酒精性肝硬化伴食管静脉曲张破裂出血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K71.700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中毒性肝病伴有肝纤维化和肝硬化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K71.701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药物性肝硬化</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K71.702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中毒性肝硬化</w:t>
            </w:r>
          </w:p>
        </w:tc>
      </w:tr>
      <w:tr>
        <w:tblPrEx>
          <w:tblCellMar>
            <w:top w:w="0" w:type="dxa"/>
            <w:left w:w="108" w:type="dxa"/>
            <w:bottom w:w="0" w:type="dxa"/>
            <w:right w:w="108" w:type="dxa"/>
          </w:tblCellMar>
        </w:tblPrEx>
        <w:trPr>
          <w:trHeight w:val="90"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一、代偿期肝硬化需符合以下四项之一：</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（一）组织学符合肝硬化诊断；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（二）内镜显示食管胃静脉曲张或消化道异位静脉曲张，除外非肝硬化性门静脉高压；</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（三）Ｂ超、LSM或CT等 影像学检查提示肝硬化或门静脉高压特征：如脾大、门静脉≥1.3cm，LSM测定符合不同病因的肝硬化诊断界值；</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（四）无组织学、内镜或影像学检查者，以下检查指标异常提示肝硬化（4条任2条）：</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①PLT&lt;100</w:t>
            </w:r>
            <w:r>
              <w:rPr>
                <w:rFonts w:ascii="Times New Roman" w:hAnsi="Times New Roman" w:eastAsia="Segoe UI Symbol" w:cs="Segoe UI Symbol"/>
                <w:color w:val="000000" w:themeColor="text1"/>
                <w:kern w:val="0"/>
                <w:szCs w:val="21"/>
                <w:lang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t>10∧9/L，无其他原因可以解释；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②血清白蛋白&lt;35g/L，排除营养不良或肾脏疾病等其他原因；</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③INR&gt;1.5或PT延长（停用溶栓或抗凝药7d以上）；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④AST/PLT比率指数（APRI）：成人APRI评分&gt;2，排除降酶药物等对APRI的影响。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二、肝硬化失代偿期需满足：在肝硬化基础上，出现门静脉高压并发症和（或）肝功能减退。</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（一）具备肝硬化的诊断依据；</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（二）出现门静脉高压相关并发症：腹水、食管胃底静脉曲张破裂出血、脓毒症、肝性脑病、肝肾综合征等。</w:t>
            </w:r>
          </w:p>
        </w:tc>
      </w:tr>
      <w:tr>
        <w:tblPrEx>
          <w:tblCellMar>
            <w:top w:w="0" w:type="dxa"/>
            <w:left w:w="108" w:type="dxa"/>
            <w:bottom w:w="0" w:type="dxa"/>
            <w:right w:w="108" w:type="dxa"/>
          </w:tblCellMar>
        </w:tblPrEx>
        <w:trPr>
          <w:trHeight w:val="90"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4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病因治疗</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全身用抗病毒药</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全身用抗病毒药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其他消化道及代谢用药（限代谢性肝病，如肝豆状核变性、血色病）</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其他消化道及代谢用药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利胆治疗药（限肝硬化合并胆汁淤积）</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XA05A</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利胆治疗药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肝脏治疗药，抗脂肪肝药</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XA05B</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肝脏治疗药，抗脂肪肝药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免疫调节药（限自身免疫性肝病）</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XL04AX</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其他免疫抑制剂</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抗吸虫药：驱虫药物（限血吸虫病和华支睾吸虫病）</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XP02B</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抗吸虫药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对症治疗</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抗纤维化</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XL04AX</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其他免疫抑制剂</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预防及治疗肝性脑病等药物</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XA05B</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肝脏治疗药，抗脂肪肝药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XA07A</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肠道抗感染药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口服降门静脉压力药物</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调节水电解质及酸碱平衡药</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抑酸剂（限套扎/组织胶术后、门脉高压性胃肠病）</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XA02BC</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质子泵抑制剂</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胃黏膜保护剂（限套扎/组织胶术后、门脉高压性胃肠病）</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XA02A</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抗酸药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XB02B</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维生素K和其他止血药</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维生素B12和叶酸、集落刺激因子</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XL03AA</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集落刺激因子</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治疗便秘药物</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治疗便秘药物</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单方调节血脂药：降脂药物（限合并高脂血症）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r>
      <w:tr>
        <w:tblPrEx>
          <w:tblCellMar>
            <w:top w:w="0" w:type="dxa"/>
            <w:left w:w="108" w:type="dxa"/>
            <w:bottom w:w="0" w:type="dxa"/>
            <w:right w:w="108" w:type="dxa"/>
          </w:tblCellMar>
        </w:tblPrEx>
        <w:trPr>
          <w:trHeight w:val="90"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250102024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尿沉渣定量</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大便（隐血）常规</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250103001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粪便常规</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250103002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隐血试验</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250601001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粪寄生虫镜检</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乙肝两对半</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血氨</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血浆氨测定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凝血功能</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血栓检测</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纤维蛋白(原)降解产物测定(FDP)</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血浆D-二聚体测定(D-Dimer)</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HBV_DNA检测（限乙肝）</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乙型肝炎DNA测定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HCV-RNA检测（限丙肝）</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丙型肝炎RNA测定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自身免疫性肝病+自身抗体谱+ANA抗体测（限自身免疫性肝病、医保基金支付不超过1次/年）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250402039</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抗可溶性肝抗原/肝-胰抗原抗体(SLA/LP)测定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250402040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抗肝肾微粒体抗体(LKM)测定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250402007</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抗线粒体抗体测定(AMA)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抗核抗体测定(ANA)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250402036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抗增殖细胞核抗原抗体(抗PCNA)测定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250402009</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抗核糖体抗体测定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250402003.10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抗核提取物抗体测定(抗SSA)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250402003.20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抗核提取物抗体测定(抗SSB)</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250402003.30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抗核提取物抗体测定(抗JO－1)</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250402003.40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抗核提取物抗体测定(抗Sm)</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250402003.50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抗核提取物抗体测定(抗nRNP)</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250402003.60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抗核提取物抗体测定(抗ScL-70)</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250402003.70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抗核提取物抗体测定(抗着丝点)</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CGFQ1000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抗核小体抗体(AnuA)测定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250402006</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抗双链DNA测定(抗dsDNA)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CGFV1000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抗组蛋白抗体(AHA)测定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250402025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抗硬皮病抗体测定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ANCA谱（限自身免疫性肝病、医保基金支付不超过1次/年）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抗中性粒细胞胞浆抗体测定(ANCA)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250402005.10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抗中性粒细胞胞浆抗体测定(cANCA)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250402005.20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抗中性粒细胞胞浆抗体测定(pANCA)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抗中性粒细胞胞浆抗体（限自身免疫性肝病、医保基金支付不超过1次/年）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250402005.30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抗中性粒细胞胞浆抗体测定(PR3-ANCA)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250402005.40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抗中性粒细胞胞浆抗体测定(MPO-ANCA)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免疫球蛋白（限自身免疫性肝病、医保基金支付不超过1次/年）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250401023.10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免疫球蛋白定量测定(IgA)</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250401023.20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免疫球蛋白定量测定(IgG)</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250401023.30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免疫球蛋白定量测定(IgM)</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250401023.40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免疫球蛋白定量测定(IgD)</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250401023.50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免疫球蛋白定量测定(IgE)</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lgG4（限自身免疫性肝炎、医保基金支付不超过1次/年）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250401033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免疫球蛋白亚类定量测定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肿瘤异常凝血酶原</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250203084</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血清异常凝血酶原（PIVK-II）测定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甲胎蛋白测定</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甲胎蛋白测定(AFP)</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腹部超声</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食管造影</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210103012</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食管造影</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胃镜</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310902005</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纤维胃十二指肠镜检查</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肝纤维化瞬时弹性</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A220302013</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肝纤维化瞬时弹性测定</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上腹部CT平扫（限AFP增高或者超声提示肝脏占位性质待定）</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EBAQT001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上腹部X线计算机体层(CT)平扫</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上腹部CT增强扫描（限AFP增高或者超声提示肝脏占位性质待定）</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EBBQT001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上腹部X线计算机体层(CT)增强扫描</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超声造影（限怀疑HCC）</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220302010</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脏器声学造影</w:t>
            </w:r>
          </w:p>
        </w:tc>
      </w:tr>
      <w:tr>
        <w:tblPrEx>
          <w:tblCellMar>
            <w:top w:w="0" w:type="dxa"/>
            <w:left w:w="108" w:type="dxa"/>
            <w:bottom w:w="0" w:type="dxa"/>
            <w:right w:w="108" w:type="dxa"/>
          </w:tblCellMar>
        </w:tblPrEx>
        <w:trPr>
          <w:trHeight w:val="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5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jc w:val="lef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1.脑卒中后遗症（脑梗死、脑出血、蛛网膜下腔出血后遗症、血管性痴呆）</w:t>
      </w:r>
    </w:p>
    <w:tbl>
      <w:tblPr>
        <w:tblStyle w:val="4"/>
        <w:tblW w:w="8691" w:type="dxa"/>
        <w:tblInd w:w="93" w:type="dxa"/>
        <w:tblLayout w:type="fixed"/>
        <w:tblCellMar>
          <w:top w:w="0" w:type="dxa"/>
          <w:left w:w="108" w:type="dxa"/>
          <w:bottom w:w="0" w:type="dxa"/>
          <w:right w:w="108" w:type="dxa"/>
        </w:tblCellMar>
      </w:tblPr>
      <w:tblGrid>
        <w:gridCol w:w="816"/>
        <w:gridCol w:w="1524"/>
        <w:gridCol w:w="1088"/>
        <w:gridCol w:w="2003"/>
        <w:gridCol w:w="3260"/>
      </w:tblGrid>
      <w:tr>
        <w:tblPrEx>
          <w:tblCellMar>
            <w:top w:w="0" w:type="dxa"/>
            <w:left w:w="108" w:type="dxa"/>
            <w:bottom w:w="0" w:type="dxa"/>
            <w:right w:w="108" w:type="dxa"/>
          </w:tblCellMar>
        </w:tblPrEx>
        <w:trPr>
          <w:trHeight w:val="145"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脑卒中后遗症（脑梗死、脑出血、蛛网膜下腔出血后遗症、血管性痴呆）</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I69.100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脑内出血后遗症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I69.100x001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脑出血后遗症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I69.300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脑梗死后遗症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I69.400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脑卒中后遗症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I69.800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脑血管病后遗症，其他和未特指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I69.802</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脑血管病后遗症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I69.801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脑血栓后遗症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I69.802</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脑血管病后遗症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T90.300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脑神经损伤后遗症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I69.000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蛛网膜下出血后遗症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I69.000x001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蛛网膜下腔出血后遗症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F01.800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血管性痴呆，其他的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F01.900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血管性痴呆</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F01.100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多发脑梗死性痴呆</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G45.800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短暂性大脑缺血性发作和相关的综合征，其他的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Z50.101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脑出血后物理康复训练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Z50.501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脑出血后语言康复训练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I62.000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非创伤性硬膜下出血</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F06.300x021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卒中后抑郁</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F06.400x003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卒中后焦虑</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F06.810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卒中后精神病态</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F06.800x026</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血管性认知功能障碍</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F01.800x001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出血性痴呆</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F01.901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动脉硬化性痴呆</w:t>
            </w:r>
          </w:p>
        </w:tc>
      </w:tr>
      <w:tr>
        <w:tblPrEx>
          <w:tblCellMar>
            <w:top w:w="0" w:type="dxa"/>
            <w:left w:w="108" w:type="dxa"/>
            <w:bottom w:w="0" w:type="dxa"/>
            <w:right w:w="108" w:type="dxa"/>
          </w:tblCellMar>
        </w:tblPrEx>
        <w:trPr>
          <w:trHeight w:val="91"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急性起病或亚急性起病，经CT、MRI或CSF检查确诊的脑梗死、脑出血及蛛网膜下腔出血，临床表现为局灶性神经功能缺失（如肢体瘫痪、感觉障碍、颅神经障碍、失语等），或全脑弥漫性神经功能障碍（如昏迷）。经临床治疗一月后仍遗留以下症状和体征中任一条：</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一、意识障碍  Glasgow（GCS）昏迷量表评定＜8分。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二、运动障碍 中枢性肢瘫（一）肌力：Ⅲ级肌力及其以下；（二）肌张力：Ashworth痉挛量表评定＞1级；（三）平衡功能：Fugl-Meyery平衡量表评定＜14分或Berg平衡量表评定＜44分；（四）体感诱发电位</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或</w:t>
            </w:r>
            <w:r>
              <w:rPr>
                <w:rFonts w:ascii="Times New Roman" w:hAnsi="Times New Roman" w:eastAsia="方正仿宋_GBK" w:cs="方正仿宋_GBK"/>
                <w:color w:val="000000" w:themeColor="text1"/>
                <w:kern w:val="0"/>
                <w:szCs w:val="21"/>
                <w:lang w:bidi="ar"/>
                <w14:textFill>
                  <w14:solidFill>
                    <w14:schemeClr w14:val="tx1"/>
                  </w14:solidFill>
                </w14:textFill>
              </w:rPr>
              <w:t>运动诱发电位异常。</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三、语言障碍及吞咽障碍 （一）北京医科大学汉语失语成套测验（ABC）和北京医院汉语失语症检查法评分＜总分的85%；（二）洼田饮水试验评定＜4级；（三）脑干诱发电位异常。包括失读，失写，失听和构音及吞咽障碍等症状。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四、认知障碍 （一）简易精神状态检查MMSE＜24分；（二）长谷川痴呆量表评分＜20分；韦氏记忆量表评分＜总分的85％；（三）包括失用和失认等症状。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五、卒中后抑郁  症状学诊断和抑郁评分量表结合。卒中前无抑郁，卒中后发生抑郁，包括：抑郁评分量表：PHQ-9，评分＞10分；汉密尔顿抑郁评分量表，评分＞17分；Zung抑郁自评量表，评分＞60分。</w:t>
            </w:r>
          </w:p>
        </w:tc>
      </w:tr>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2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调节血脂类药</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调节血脂药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抗血小板聚集药物</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抗凝血药</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抗痴呆药物</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XN06D</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抗痴呆药物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抗抑郁药（限卒中后精神病态）</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XN06AA</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非选择性单胺重摄取抑制剂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XN06AB</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选择性5-羟色胺再摄取抑制剂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XN06AX</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其他抗抑郁药</w:t>
            </w:r>
          </w:p>
        </w:tc>
      </w:tr>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 w:val="24"/>
                <w:lang w:eastAsia="zh-CN"/>
                <w14:textFill>
                  <w14:solidFill>
                    <w14:schemeClr w14:val="tx1"/>
                  </w14:solidFill>
                </w14:textFill>
              </w:rPr>
            </w:pPr>
            <w:r>
              <w:rPr>
                <w:rFonts w:hint="eastAsia" w:ascii="Times New Roman" w:hAnsi="Times New Roman" w:eastAsia="方正黑体_GBK" w:cs="方正黑体_GBK"/>
                <w:color w:val="000000" w:themeColor="text1"/>
                <w:kern w:val="0"/>
                <w:sz w:val="21"/>
                <w:szCs w:val="21"/>
                <w:lang w:eastAsia="zh-CN" w:bidi="ar"/>
                <w14:textFill>
                  <w14:solidFill>
                    <w14:schemeClr w14:val="tx1"/>
                  </w14:solidFill>
                </w14:textFill>
              </w:rPr>
              <w:t>诊疗项目</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内生肌酐清除率试验</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血清肌酸激酶测定</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血清肌酸激酶测定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凝血功能</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血浆凝血酶原时间测定(PT)</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250203025</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活化部分凝血活酶时间测定(APTT)</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250203035</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凝血酶时间测定(TT)</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250203030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血浆纤维蛋白原测定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250203066</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血浆D-二聚体测定(D-Dimer)</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头部CT（医保基金支付不超过1次/年）</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X线计算机体层(CT)平扫(颅脑)</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EBABP001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头部X线计算机体层(CT)平扫</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头部MRI（医保基金支付不超过1次/年）</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ECCZX003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磁共振单脏器弥散加权成像</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ECABA001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颅脑磁共振成像</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颈动脉彩超（医保基金支付不超过2次/年）</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颈部血管彩色多普勒超声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220302003.10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颈部血管彩色多普勒超声(颈动脉)</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220302003.30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颈部血管彩色多普勒超声(椎动脉)</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TCD（医保基金支付不超过4次/年）</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220400001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颅内多普勒血流图(TCD)</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220400001.03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颅内多普勒血流图(TCD)转颈试验收取</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220400001.10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颅内多普勒血流图(TCD)(压颈试验)</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p>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卒中发生半年内使用以下项目(医保基金支付限半年内)</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吞咽障碍治疗</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日常生活能力评定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340200037</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吞咽功能障碍训练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MAGGK001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吞咽功能障碍检查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言语障碍治疗</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日常生活能力评定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340200034</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言语训练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MAGAZ001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言语能力筛查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340200036</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构音障碍训练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认知障碍治疗（每种量表医保基金支付不超过4次/</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半</w:t>
            </w:r>
            <w:r>
              <w:rPr>
                <w:rFonts w:ascii="Times New Roman" w:hAnsi="Times New Roman" w:eastAsia="方正仿宋_GBK" w:cs="方正仿宋_GBK"/>
                <w:color w:val="000000" w:themeColor="text1"/>
                <w:kern w:val="0"/>
                <w:szCs w:val="21"/>
                <w:lang w:bidi="ar"/>
                <w14:textFill>
                  <w14:solidFill>
                    <w14:schemeClr w14:val="tx1"/>
                  </w14:solidFill>
                </w14:textFill>
              </w:rPr>
              <w:t>年）</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日常生活能力评定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340200038</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认知知觉功能障碍训练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运动治疗</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340200003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日常生活能力评定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340200020及.XX</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运动疗法</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340200040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偏瘫肢体综合训练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340200031</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作业疗法</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340200030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等速肌力训练</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心理治疗（每种量表医保基金支付不超过4次/</w:t>
            </w: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半</w:t>
            </w:r>
            <w:r>
              <w:rPr>
                <w:rFonts w:ascii="Times New Roman" w:hAnsi="Times New Roman" w:eastAsia="方正仿宋_GBK" w:cs="方正仿宋_GBK"/>
                <w:color w:val="000000" w:themeColor="text1"/>
                <w:kern w:val="0"/>
                <w:szCs w:val="21"/>
                <w:lang w:bidi="ar"/>
                <w14:textFill>
                  <w14:solidFill>
                    <w14:schemeClr w14:val="tx1"/>
                  </w14:solidFill>
                </w14:textFill>
              </w:rPr>
              <w:t>年）</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311503023</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心理咨询</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311503024</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心理治疗</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2.帕金森病</w:t>
      </w:r>
    </w:p>
    <w:tbl>
      <w:tblPr>
        <w:tblStyle w:val="4"/>
        <w:tblW w:w="8691" w:type="dxa"/>
        <w:tblInd w:w="93" w:type="dxa"/>
        <w:tblLayout w:type="fixed"/>
        <w:tblCellMar>
          <w:top w:w="0" w:type="dxa"/>
          <w:left w:w="108" w:type="dxa"/>
          <w:bottom w:w="0" w:type="dxa"/>
          <w:right w:w="108" w:type="dxa"/>
        </w:tblCellMar>
      </w:tblPr>
      <w:tblGrid>
        <w:gridCol w:w="831"/>
        <w:gridCol w:w="2311"/>
        <w:gridCol w:w="2625"/>
        <w:gridCol w:w="2924"/>
      </w:tblGrid>
      <w:tr>
        <w:tblPrEx>
          <w:tblCellMar>
            <w:top w:w="0" w:type="dxa"/>
            <w:left w:w="108" w:type="dxa"/>
            <w:bottom w:w="0" w:type="dxa"/>
            <w:right w:w="108" w:type="dxa"/>
          </w:tblCellMar>
        </w:tblPrEx>
        <w:trPr>
          <w:trHeight w:val="413" w:hRule="atLeast"/>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帕金森病</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G20.x00</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帕金森病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G20.x00x005+F02.3*</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帕金森病性痴呆[震颤麻痹性痴呆]</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G20.x00x011</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早发型帕金森病</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G20.x02+F02.3*</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帕金森病性痴呆</w:t>
            </w:r>
          </w:p>
        </w:tc>
      </w:tr>
      <w:tr>
        <w:tblPrEx>
          <w:tblCellMar>
            <w:top w:w="0" w:type="dxa"/>
            <w:left w:w="108" w:type="dxa"/>
            <w:bottom w:w="0" w:type="dxa"/>
            <w:right w:w="108" w:type="dxa"/>
          </w:tblCellMar>
        </w:tblPrEx>
        <w:trPr>
          <w:trHeight w:val="91"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符合一和三或者二和三：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一、符合帕金森病的诊断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（一）运动减少：启动随意运动的速度缓慢。疾病进展后，重复性动作的运动速度及幅度均降低；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（二）至少存在下列1项特征：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1、肌肉僵直；</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2、静止性震颤4－6Hz；</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3、姿势不稳(非原发性视觉、前庭、小脑及本体感受功能障碍造成)。</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二、支持诊断帕金森病必须具备下列3项或3项以上的特征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（一）单侧起病；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（二）静止性震颤；</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（三）逐渐进展；</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（四）发病后多为持续性的不对称性受累；</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（五）对左旋多巴的治疗反应良好；</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（六）左旋多巴导致的严重的异动症；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（七）左旋多巴的治疗效果持续5年或5年以上。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三、必须排除非帕金森病：继发帕金森综合征或帕金森叠加综合征。</w:t>
            </w:r>
          </w:p>
        </w:tc>
      </w:tr>
      <w:tr>
        <w:tblPrEx>
          <w:tblCellMar>
            <w:top w:w="0" w:type="dxa"/>
            <w:left w:w="108" w:type="dxa"/>
            <w:bottom w:w="0" w:type="dxa"/>
            <w:right w:w="108" w:type="dxa"/>
          </w:tblCellMar>
        </w:tblPrEx>
        <w:trPr>
          <w:trHeight w:val="91" w:hRule="atLeast"/>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6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拟多巴胺类药物</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XN04BA</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多巴和其衍生物</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多巴胺受体激动剂</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XN04BC</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多巴胺激动剂</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XN04A</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单胺氧化酶B抑制剂</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XN04BD</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单胺氧化酶B抑制剂</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COMT抑制剂</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XN04BX</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其他多巴胺能药</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抗痴呆药物</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XN06D</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抗痴呆药物</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金刚烷衍生物</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XN04BB</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金刚烷衍生物</w:t>
            </w:r>
          </w:p>
        </w:tc>
      </w:tr>
      <w:tr>
        <w:tblPrEx>
          <w:tblCellMar>
            <w:top w:w="0" w:type="dxa"/>
            <w:left w:w="108" w:type="dxa"/>
            <w:bottom w:w="0" w:type="dxa"/>
            <w:right w:w="108" w:type="dxa"/>
          </w:tblCellMar>
        </w:tblPrEx>
        <w:trPr>
          <w:trHeight w:val="91" w:hRule="atLeast"/>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3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6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颅脑磁共振(医保基金支付不超过1次/年)</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ECABA001</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颅脑磁共振成像</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210200001</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磁共振平扫（颅脑）</w:t>
            </w:r>
          </w:p>
        </w:tc>
      </w:tr>
      <w:tr>
        <w:tblPrEx>
          <w:tblCellMar>
            <w:top w:w="0" w:type="dxa"/>
            <w:left w:w="108" w:type="dxa"/>
            <w:bottom w:w="0" w:type="dxa"/>
            <w:right w:w="108" w:type="dxa"/>
          </w:tblCellMar>
        </w:tblPrEx>
        <w:trPr>
          <w:trHeight w:val="91" w:hRule="atLeast"/>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 w:val="24"/>
                <w14:textFill>
                  <w14:solidFill>
                    <w14:schemeClr w14:val="tx1"/>
                  </w14:solidFill>
                </w14:textFill>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肌电图</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310100023</w:t>
            </w:r>
          </w:p>
        </w:tc>
        <w:tc>
          <w:tcPr>
            <w:tcW w:w="2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肌电图</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eastAsia="黑体"/>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3.肌萎缩侧索硬化症</w:t>
      </w:r>
    </w:p>
    <w:tbl>
      <w:tblPr>
        <w:tblStyle w:val="4"/>
        <w:tblW w:w="8691" w:type="dxa"/>
        <w:tblInd w:w="93" w:type="dxa"/>
        <w:tblLayout w:type="fixed"/>
        <w:tblCellMar>
          <w:top w:w="0" w:type="dxa"/>
          <w:left w:w="108" w:type="dxa"/>
          <w:bottom w:w="0" w:type="dxa"/>
          <w:right w:w="108" w:type="dxa"/>
        </w:tblCellMar>
      </w:tblPr>
      <w:tblGrid>
        <w:gridCol w:w="818"/>
        <w:gridCol w:w="3178"/>
        <w:gridCol w:w="1665"/>
        <w:gridCol w:w="3030"/>
      </w:tblGrid>
      <w:tr>
        <w:tblPrEx>
          <w:tblCellMar>
            <w:top w:w="0" w:type="dxa"/>
            <w:left w:w="108" w:type="dxa"/>
            <w:bottom w:w="0" w:type="dxa"/>
            <w:right w:w="108" w:type="dxa"/>
          </w:tblCellMar>
        </w:tblPrEx>
        <w:trPr>
          <w:trHeight w:val="91"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肌萎缩侧索硬化症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G12.201</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肌萎缩侧索硬化症(ALS)</w:t>
            </w:r>
          </w:p>
        </w:tc>
      </w:tr>
      <w:tr>
        <w:tblPrEx>
          <w:tblCellMar>
            <w:top w:w="0" w:type="dxa"/>
            <w:left w:w="108" w:type="dxa"/>
            <w:bottom w:w="0" w:type="dxa"/>
            <w:right w:w="108" w:type="dxa"/>
          </w:tblCellMar>
        </w:tblPrEx>
        <w:trPr>
          <w:trHeight w:val="91"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一、必须有下列神经症状和体征：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（一）下运动神经元病损特征(包括目前临床表现正常、肌肉的肌电图异常)；</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（二）上运动神经元病损特征（可能被下运动神经元体征掩盖）；</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（三）病情逐步进展。</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二、根据上述3个特征，可作以下3个程度的诊断：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（一）肯定ALS：全身4个区域(脑、颈、胸、腰骶神经支配区)的肌群中，3个区域有上、下运动神经元病损的症状和体征；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（二）拟诊ALS：在2个区域有上、下运动神经元病损的症状和体征；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（三）可能ALS：在1个区域有上、下运动神经元病损的体征，或在2个区域有下运动神经元病损的体征。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三、除外下列疾病：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（一）颈椎病；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（二）脊髓空洞症；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（三）下列运动神经元综合征： 1、多灶性运动神经病；2、脊髓型脊肌萎缩症；3、运动轴索性周围神经病；4、副瘤性运动神经元病；5、青年良性远端手肌萎缩症(平山病)；6、脊髓灰质炎后遗症；7、其他。</w:t>
            </w:r>
          </w:p>
        </w:tc>
      </w:tr>
      <w:tr>
        <w:tblPrEx>
          <w:tblCellMar>
            <w:top w:w="0" w:type="dxa"/>
            <w:left w:w="108" w:type="dxa"/>
            <w:bottom w:w="0" w:type="dxa"/>
            <w:right w:w="108" w:type="dxa"/>
          </w:tblCellMar>
        </w:tblPrEx>
        <w:trPr>
          <w:trHeight w:val="91"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镇痛药</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镇痛药</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其他神经系统药物</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XN07X</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其他神经系统药物</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肌肉松弛药</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XM03</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肌肉松弛药</w:t>
            </w:r>
          </w:p>
        </w:tc>
      </w:tr>
      <w:tr>
        <w:tblPrEx>
          <w:tblCellMar>
            <w:top w:w="0" w:type="dxa"/>
            <w:left w:w="108" w:type="dxa"/>
            <w:bottom w:w="0" w:type="dxa"/>
            <w:right w:w="108" w:type="dxa"/>
          </w:tblCellMar>
        </w:tblPrEx>
        <w:trPr>
          <w:trHeight w:val="91"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0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肌电图</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310100023</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肌电图</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神经传导速度</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310100007</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神经传导速度测定</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4.</w:t>
      </w:r>
      <w:r>
        <w:rPr>
          <w:rFonts w:ascii="Times New Roman" w:hAnsi="Times New Roman" w:eastAsia="黑体"/>
          <w:color w:val="000000" w:themeColor="text1"/>
          <w:sz w:val="30"/>
          <w:szCs w:val="30"/>
          <w14:textFill>
            <w14:solidFill>
              <w14:schemeClr w14:val="tx1"/>
            </w14:solidFill>
          </w14:textFill>
        </w:rPr>
        <w:t>支气管哮喘</w:t>
      </w:r>
    </w:p>
    <w:tbl>
      <w:tblPr>
        <w:tblStyle w:val="4"/>
        <w:tblW w:w="8691" w:type="dxa"/>
        <w:tblInd w:w="93" w:type="dxa"/>
        <w:tblLayout w:type="fixed"/>
        <w:tblCellMar>
          <w:top w:w="0" w:type="dxa"/>
          <w:left w:w="108" w:type="dxa"/>
          <w:bottom w:w="0" w:type="dxa"/>
          <w:right w:w="108" w:type="dxa"/>
        </w:tblCellMar>
      </w:tblPr>
      <w:tblGrid>
        <w:gridCol w:w="728"/>
        <w:gridCol w:w="574"/>
        <w:gridCol w:w="1854"/>
        <w:gridCol w:w="1592"/>
        <w:gridCol w:w="3943"/>
      </w:tblGrid>
      <w:tr>
        <w:tblPrEx>
          <w:tblCellMar>
            <w:top w:w="0" w:type="dxa"/>
            <w:left w:w="108" w:type="dxa"/>
            <w:bottom w:w="0" w:type="dxa"/>
            <w:right w:w="108" w:type="dxa"/>
          </w:tblCellMar>
        </w:tblPrEx>
        <w:trPr>
          <w:trHeight w:val="91"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J45.003</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变态反应性支气管哮喘</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J45.007</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外源性支气管哮喘</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J45.900x001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J45.900x002</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难治性支气管哮喘</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J45.900x011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支气管哮喘（完全控制）</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J45.900x012</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支气管哮喘（部分控制）</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J45.900x013</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支气管哮喘（未控制）</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J45.900x021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支气管哮喘（急性发作期）</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J46.x00x008</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支气管哮喘（慢性持续期）</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J45.900x023</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支气管哮喘（临床缓解期）</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J45.900x031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支气管哮喘（间歇发作）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J46.x00x009</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支气管哮喘（轻度持续）</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J46.x00x010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支气管哮喘（中度持续）</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支气管哮喘，重度</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J45.903</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支气管哮喘，非危重</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J46.x00x002</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支气管哮喘急性发作（轻度）</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J46.x00x003</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支气管哮喘急性发作（中度）</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支气管哮喘，重度</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J46.x02</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支气管哮喘，危重</w:t>
            </w:r>
          </w:p>
        </w:tc>
      </w:tr>
      <w:tr>
        <w:tblPrEx>
          <w:tblCellMar>
            <w:top w:w="0" w:type="dxa"/>
            <w:left w:w="108" w:type="dxa"/>
            <w:bottom w:w="0" w:type="dxa"/>
            <w:right w:w="108" w:type="dxa"/>
          </w:tblCellMar>
        </w:tblPrEx>
        <w:trPr>
          <w:trHeight w:val="91"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一、典型哮喘的临床症状和体征：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（一）反复发作喘息、气急，伴或不伴胸闷或咳嗽，夜间及晨间多发，常与接触变应原、冷空气、物理、化学性刺激以及上呼吸道感染、运动等有关；</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（二）发作时双肺可闻及散在或弥漫性哮鸣音，呼气相延长；</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（三）上述症状和体征可经治疗缓解或自行缓解。</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二、不典型哮喘的临床症状和体征：以反复咳嗽或者胸闷为主要或者唯一症状，以夜间及晨间多发，常因接触变应原、冷空气、刺激物以及上呼吸道感染等诱发，无喘息、气息，双肺无哮鸣音。</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三、可变气流受限的客观检查：</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（一）支气管舒张试验阳性(吸入支气管舒张剂后，FEV1增加≥12％，且 FEV1绝对值增加≥200 ml)；</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（二）支气管激发试验阳性；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（三）呼气流量峰值(peak expiratory flow，PEF)平均每日昼夜变异率(连续7d，每日PEF昼夜变异率之和／7)&gt;10％，或PEF周变异率{(2周内最高 PEF值-最低PEF值)／[(2周内最高PEF值+最低PEF)* 1／2]×100％}&gt;20％。</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四、符合上述症状和/或体征，同时具备气流受限客观检查中的任一条，并除外其他疾病所引起的喘息、气急、胸闷及咳嗽。</w:t>
            </w:r>
          </w:p>
        </w:tc>
      </w:tr>
      <w:tr>
        <w:tblPrEx>
          <w:tblCellMar>
            <w:top w:w="0" w:type="dxa"/>
            <w:left w:w="108" w:type="dxa"/>
            <w:bottom w:w="0" w:type="dxa"/>
            <w:right w:w="108" w:type="dxa"/>
          </w:tblCellMar>
        </w:tblPrEx>
        <w:trPr>
          <w:trHeight w:val="91"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支气管扩张类药物</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速效、短效、长效β2受体激动剂；长效β2受体激动剂联合长效抗胆碱能制剂（LABA+LAMA）；支气管扩张剂+抗炎复合制剂（ICS+LABA、ICS+LABA+LAMA）</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XR03A</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吸入的肾上腺素能类药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短效、长效抗胆碱能制剂</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XR03B</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治疗阻塞性气道疾病的其他吸入药物</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皮质激素类</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XR01AD</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皮质激素类</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茶碱类药物</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XR03DA</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黄嘌呤类</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糖皮质激素类药物</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抗白三烯调节剂</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XR03DC</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白三烯受体拮抗剂</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速效、短效、长效支气管扩张剂</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XR03C</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全身用肾上腺素类药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抗过敏药（限合并变应性鼻炎或过敏原检测阳性）</w:t>
            </w:r>
          </w:p>
        </w:tc>
        <w:tc>
          <w:tcPr>
            <w:tcW w:w="1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XR06</w:t>
            </w:r>
          </w:p>
        </w:tc>
        <w:tc>
          <w:tcPr>
            <w:tcW w:w="3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全身用抗组胺药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脱敏治疗（限过敏原检测阳性）</w:t>
            </w:r>
          </w:p>
        </w:tc>
        <w:tc>
          <w:tcPr>
            <w:tcW w:w="1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3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抗IgE单克隆抗体（奥马珠单抗）</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XR03D</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治疗阻塞性气道疾病的其他全身用药物</w:t>
            </w:r>
          </w:p>
        </w:tc>
      </w:tr>
      <w:tr>
        <w:tblPrEx>
          <w:tblCellMar>
            <w:top w:w="0" w:type="dxa"/>
            <w:left w:w="108" w:type="dxa"/>
            <w:bottom w:w="0" w:type="dxa"/>
            <w:right w:w="108" w:type="dxa"/>
          </w:tblCellMar>
        </w:tblPrEx>
        <w:trPr>
          <w:trHeight w:val="91" w:hRule="atLeast"/>
        </w:trPr>
        <w:tc>
          <w:tcPr>
            <w:tcW w:w="728" w:type="dxa"/>
            <w:vMerge w:val="restart"/>
            <w:tcBorders>
              <w:top w:val="nil"/>
              <w:left w:val="single" w:color="auto"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雾化吸入治疗（限急性发作期）</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ABK</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雾化吸入</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肺功能（肺通气功能测定、支气管激发试验、支气管舒张试验）</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肺通气功能检查</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310601010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支气管激发试验</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310601012</w:t>
            </w:r>
          </w:p>
        </w:tc>
        <w:tc>
          <w:tcPr>
            <w:tcW w:w="394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支气管舒张试验</w:t>
            </w:r>
          </w:p>
        </w:tc>
      </w:tr>
      <w:tr>
        <w:tblPrEx>
          <w:tblCellMar>
            <w:top w:w="0" w:type="dxa"/>
            <w:left w:w="108" w:type="dxa"/>
            <w:bottom w:w="0" w:type="dxa"/>
            <w:right w:w="108" w:type="dxa"/>
          </w:tblCellMar>
        </w:tblPrEx>
        <w:trPr>
          <w:trHeight w:val="91" w:hRule="atLeast"/>
        </w:trPr>
        <w:tc>
          <w:tcPr>
            <w:tcW w:w="72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59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94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2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94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呼出气一氧化氮（FeNO）</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FJE02407</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呼出气一氧化氮测定</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诱导痰和痰白细胞分类检查</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白细胞分类计数(DC)</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250401023.50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免疫球蛋白定量测定(IgE)</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过敏原测定</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250405001</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总IgE测定</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250405002</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吸入物变应原筛查</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250405003</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食入物变应原筛查</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250405004</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特殊变应原(多价变应原)筛查</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250405004.10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特殊变应原(多价变应原)筛查(混合虫螨)</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250405004.20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特殊变应原(多价变应原)筛查(混合霉菌)</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250405004.30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特殊变应原(多价变应原)筛查(多价动物毛)</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250405005</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专项变应原(单价变应原)筛查</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250405005.10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专项变应原(单价变应原)筛查(牛奶)</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250405005.20</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专项变应原(单价变应原)筛查(蛋清)</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250405006</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嗜酸细胞阳离子蛋白(ECP)测定</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250405007</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循环免疫复合物(CIC)测定</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250405008</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脱敏免疫球蛋白IgG测定</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250405009</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脱敏免疫球蛋白IgG4测定</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皮肤敏感试验</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250405002</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吸入物变应原筛查</w:t>
            </w:r>
          </w:p>
        </w:tc>
      </w:tr>
      <w:tr>
        <w:tblPrEx>
          <w:tblCellMar>
            <w:top w:w="0" w:type="dxa"/>
            <w:left w:w="108" w:type="dxa"/>
            <w:bottom w:w="0" w:type="dxa"/>
            <w:right w:w="108" w:type="dxa"/>
          </w:tblCellMar>
        </w:tblPrEx>
        <w:trPr>
          <w:trHeight w:val="91"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动脉血气分析（限病情危重或急性发作时）</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310602006</w:t>
            </w:r>
          </w:p>
        </w:tc>
        <w:tc>
          <w:tcPr>
            <w:tcW w:w="3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血气分析</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5.</w:t>
      </w:r>
      <w:r>
        <w:rPr>
          <w:rFonts w:ascii="Times New Roman" w:hAnsi="Times New Roman" w:eastAsia="黑体"/>
          <w:color w:val="000000" w:themeColor="text1"/>
          <w:sz w:val="30"/>
          <w:szCs w:val="30"/>
          <w14:textFill>
            <w14:solidFill>
              <w14:schemeClr w14:val="tx1"/>
            </w14:solidFill>
          </w14:textFill>
        </w:rPr>
        <w:t>慢性阻塞性肺疾病</w:t>
      </w:r>
    </w:p>
    <w:tbl>
      <w:tblPr>
        <w:tblStyle w:val="4"/>
        <w:tblW w:w="8691" w:type="dxa"/>
        <w:tblInd w:w="93" w:type="dxa"/>
        <w:tblLayout w:type="fixed"/>
        <w:tblCellMar>
          <w:top w:w="0" w:type="dxa"/>
          <w:left w:w="108" w:type="dxa"/>
          <w:bottom w:w="0" w:type="dxa"/>
          <w:right w:w="108" w:type="dxa"/>
        </w:tblCellMar>
      </w:tblPr>
      <w:tblGrid>
        <w:gridCol w:w="653"/>
        <w:gridCol w:w="646"/>
        <w:gridCol w:w="1947"/>
        <w:gridCol w:w="1485"/>
        <w:gridCol w:w="3960"/>
      </w:tblGrid>
      <w:tr>
        <w:tblPrEx>
          <w:tblCellMar>
            <w:top w:w="0" w:type="dxa"/>
            <w:left w:w="108" w:type="dxa"/>
            <w:bottom w:w="0" w:type="dxa"/>
            <w:right w:w="108" w:type="dxa"/>
          </w:tblCellMar>
        </w:tblPrEx>
        <w:trPr>
          <w:trHeight w:val="91" w:hRule="atLeast"/>
        </w:trPr>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慢性阻塞性肺疾病</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J44.000</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慢性阻塞性肺病伴有急性下呼吸道感染</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J44.100</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慢性阻塞性肺病伴有急性加重</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J44.800</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慢性阻塞性肺病，其他特指的</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J44.900</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慢性阻塞性肺病</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J44.900x002</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慢性阻塞性肺疾病I级</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J44.900x003</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慢性阻塞性肺疾病II级</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J44.900x004</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慢性阻塞性肺疾病III级</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J44.900x005</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慢性阻塞性肺疾病IV级</w:t>
            </w:r>
          </w:p>
        </w:tc>
      </w:tr>
      <w:tr>
        <w:tblPrEx>
          <w:tblCellMar>
            <w:top w:w="0" w:type="dxa"/>
            <w:left w:w="108" w:type="dxa"/>
            <w:bottom w:w="0" w:type="dxa"/>
            <w:right w:w="108" w:type="dxa"/>
          </w:tblCellMar>
        </w:tblPrEx>
        <w:trPr>
          <w:trHeight w:val="91"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一、患者具有慢性呼吸道症状（如呼吸困难，慢性咳嗽或咳痰），可有复发性下呼吸道感染史和（或）有接触该疾病危险因素史。其中危险因素包括吸烟、接触烟雾粉尘等。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二、体征：典型者有桶状胸，胸廓呼吸运动减弱，语音震颤减弱，叩诊呈过清音，心浊音界缩小或消失，肝浊音界下移，听诊呼吸音减弱。以上体征不需要全部具备。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三、胸部影像学：以下两项符合其中一项。</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（一）肺CT可见以下征象：慢支炎、肺气肿表现，或有肺大疱；</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（二）胸片可见以下征象：肺野透光度增加，周围血管影象减少、变细，膈肌低平，活动度减弱，肋间隙增宽，心影狭长，或有肺大疱。</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四、肺功能：吸入支气管扩张剂后，FEV1与FVC的比值＜0.7。</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符合第四项，及一至三项以上任意一项，并排除支气管哮喘等可引起上述症状的其他疾病，可诊断慢性阻塞性肺疾病。</w:t>
            </w:r>
          </w:p>
        </w:tc>
      </w:tr>
      <w:tr>
        <w:tblPrEx>
          <w:tblCellMar>
            <w:top w:w="0" w:type="dxa"/>
            <w:left w:w="108" w:type="dxa"/>
            <w:bottom w:w="0" w:type="dxa"/>
            <w:right w:w="108" w:type="dxa"/>
          </w:tblCellMar>
        </w:tblPrEx>
        <w:trPr>
          <w:trHeight w:val="91" w:hRule="atLeast"/>
        </w:trPr>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支气管扩张类药物</w:t>
            </w: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抗结核药物速效、短效、长效β2受体激动剂；长效β2受体激动剂联合长效抗胆碱能制剂（LABA+LAMA）；支气管扩张剂+抗炎复合制剂（ICS+LABA、ICS+LABA+LAMA）</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XR03A</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吸入的肾上腺素能类药</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短效、长效抗胆碱能制剂</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XR03B</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治疗阻塞性气道疾病的其他吸入药物</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茶碱类药物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XR03DA</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黄嘌呤类</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糖皮质激素类药物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XR01AD</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皮质激素类</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止咳祛痰类药物：黏痰溶解剂，黏痰调节剂，表面活性剂，多糖纤维素分解剂，含有分解脱氧核糖核酸的酶类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XR05C</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不含复方镇咳药的祛痰药</w:t>
            </w:r>
          </w:p>
        </w:tc>
      </w:tr>
      <w:tr>
        <w:tblPrEx>
          <w:tblCellMar>
            <w:top w:w="0" w:type="dxa"/>
            <w:left w:w="108" w:type="dxa"/>
            <w:bottom w:w="0" w:type="dxa"/>
            <w:right w:w="108" w:type="dxa"/>
          </w:tblCellMar>
        </w:tblPrEx>
        <w:trPr>
          <w:trHeight w:val="91"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抗菌类药物：限合并肺炎或呼吸道的细菌感染时选用适当的抗菌药物（依据病人所在地常见病原菌及其药物敏感情况选用抗生素治疗）</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全身用抗菌药</w:t>
            </w:r>
          </w:p>
        </w:tc>
      </w:tr>
      <w:tr>
        <w:tblPrEx>
          <w:tblCellMar>
            <w:top w:w="0" w:type="dxa"/>
            <w:left w:w="108" w:type="dxa"/>
            <w:bottom w:w="0" w:type="dxa"/>
            <w:right w:w="108" w:type="dxa"/>
          </w:tblCellMar>
        </w:tblPrEx>
        <w:trPr>
          <w:trHeight w:val="91" w:hRule="atLeast"/>
        </w:trPr>
        <w:tc>
          <w:tcPr>
            <w:tcW w:w="6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雾化吸入治疗</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ABK</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雾化吸入</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痰白细胞分类计数</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250101010</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白细胞分类计数(DC)</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痰微生物检测（包括痰涂片/痰培养及药敏试验</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临床微生物学检查</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呼吸道病原体核酸或抗体检测</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感染免疫学检测</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肺功能检查（肺通气功能检查、支气管舒张试验）</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310601001</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肺通气功能检查</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310601012</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支气管舒张试验</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C反应蛋白（限急性加重期查）</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降钙素原（限急性加重期查）</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250310054</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降钙素原检测</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G试验，GM试验（考虑合并真菌感染时）</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250501040</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真菌D-葡聚糖检测</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250403094</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真菌抗体和抗原测定</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肺部CT</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1" w:hRule="atLeast"/>
        </w:trPr>
        <w:tc>
          <w:tcPr>
            <w:tcW w:w="653"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血气分析</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310602006</w:t>
            </w:r>
          </w:p>
        </w:tc>
        <w:tc>
          <w:tcPr>
            <w:tcW w:w="3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血气分析</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6.</w:t>
      </w:r>
      <w:r>
        <w:rPr>
          <w:rFonts w:ascii="Times New Roman" w:hAnsi="Times New Roman" w:eastAsia="黑体"/>
          <w:color w:val="000000" w:themeColor="text1"/>
          <w:sz w:val="30"/>
          <w:szCs w:val="30"/>
          <w14:textFill>
            <w14:solidFill>
              <w14:schemeClr w14:val="tx1"/>
            </w14:solidFill>
          </w14:textFill>
        </w:rPr>
        <w:t>慢性肺源性心脏病</w:t>
      </w:r>
    </w:p>
    <w:tbl>
      <w:tblPr>
        <w:tblStyle w:val="4"/>
        <w:tblW w:w="8691" w:type="dxa"/>
        <w:tblInd w:w="93" w:type="dxa"/>
        <w:tblLayout w:type="fixed"/>
        <w:tblCellMar>
          <w:top w:w="0" w:type="dxa"/>
          <w:left w:w="108" w:type="dxa"/>
          <w:bottom w:w="0" w:type="dxa"/>
          <w:right w:w="108" w:type="dxa"/>
        </w:tblCellMar>
      </w:tblPr>
      <w:tblGrid>
        <w:gridCol w:w="792"/>
        <w:gridCol w:w="1147"/>
        <w:gridCol w:w="2208"/>
        <w:gridCol w:w="1591"/>
        <w:gridCol w:w="2953"/>
      </w:tblGrid>
      <w:tr>
        <w:tblPrEx>
          <w:tblCellMar>
            <w:top w:w="0" w:type="dxa"/>
            <w:left w:w="108" w:type="dxa"/>
            <w:bottom w:w="0" w:type="dxa"/>
            <w:right w:w="108" w:type="dxa"/>
          </w:tblCellMar>
        </w:tblPrEx>
        <w:trPr>
          <w:trHeight w:val="91"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慢性肺源性心脏病</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I27.900x002</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慢性肺源性心脏病</w:t>
            </w:r>
          </w:p>
        </w:tc>
      </w:tr>
      <w:tr>
        <w:tblPrEx>
          <w:tblCellMar>
            <w:top w:w="0" w:type="dxa"/>
            <w:left w:w="108" w:type="dxa"/>
            <w:bottom w:w="0" w:type="dxa"/>
            <w:right w:w="108" w:type="dxa"/>
          </w:tblCellMar>
        </w:tblPrEx>
        <w:trPr>
          <w:trHeight w:val="9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一、有慢性阻塞性肺疾病、慢性支气管炎、肺气肿及其它慢性肺胸疾病或慢性肺血管疾病史。</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二、存在活动后呼吸困难、乏力，劳动耐力下降。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三、出现肺动脉压增高、右心室增大或右心功能不全的征象，如颈静脉怒张、P2＞A2、剑突下心脏搏动增强、肝大压痛、肝颈静脉回流征阳性、下肢水肿等。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四、心电图和X线胸片提示肺心病：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（一）胸部Ｘ线表现：</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1、右肺下动脉干扩张，横径≥15mm，右肺下动脉横径下气管横径比值≥1.07，动态观察较原右肺下动脉干增宽2mm以上；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2、右心室增大（结合不同体位判断）。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（二）心电图诊断标准：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1、额面平均电轴≥+90°；</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2、V1R/S≥1；</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3、重度顺钟向转位V5R/S≤1；</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4、RV1＋SV5≥1.05Mv；</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5、AVRR/S或R/Q≥1；</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6、V1－3呈QS、Qr、qr（需除外心肌梗死）</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7、肺型P波：电压≥0.22mV，或电压≥0.22mV，呈尖峰型，结合P电轴＞＋80°，或当低电压时P电压＞1/2R，呈尖峰型，结合电轴＞＋80°。</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五、超声心动图提示有肺动脉增宽和右心增大、肥厚。</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具备第一和五条，并符合二至四条中任何一条，并除外其它疾病（风湿性心脏病、心肌病等）所致的右心改变。</w:t>
            </w:r>
          </w:p>
        </w:tc>
      </w:tr>
      <w:tr>
        <w:tblPrEx>
          <w:tblCellMar>
            <w:top w:w="0" w:type="dxa"/>
            <w:left w:w="108" w:type="dxa"/>
            <w:bottom w:w="0" w:type="dxa"/>
            <w:right w:w="108" w:type="dxa"/>
          </w:tblCellMar>
        </w:tblPrEx>
        <w:trPr>
          <w:trHeight w:val="91"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药品目录</w:t>
            </w: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正性肌力药物</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XC01A</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强心苷</w:t>
            </w: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支气管扩张剂</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XR03</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用于阻塞性气道疾病的药物</w:t>
            </w: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p>
        </w:tc>
        <w:tc>
          <w:tcPr>
            <w:tcW w:w="1591" w:type="dxa"/>
            <w:tcBorders>
              <w:top w:val="nil"/>
              <w:left w:val="nil"/>
              <w:bottom w:val="nil"/>
              <w:right w:val="nil"/>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XR01AD</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皮质激素类</w:t>
            </w: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止咳祛痰类药物</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黏痰溶解剂</w:t>
            </w:r>
          </w:p>
        </w:tc>
        <w:tc>
          <w:tcPr>
            <w:tcW w:w="1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XR05C</w:t>
            </w:r>
          </w:p>
        </w:tc>
        <w:tc>
          <w:tcPr>
            <w:tcW w:w="2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不含复方镇咳药的祛痰药</w:t>
            </w: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黏痰调节剂</w:t>
            </w:r>
          </w:p>
        </w:tc>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表面活性剂</w:t>
            </w:r>
          </w:p>
        </w:tc>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多糖纤维素分解剂</w:t>
            </w:r>
          </w:p>
        </w:tc>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9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抗菌类药物：限合并肺炎或呼吸道的细菌感染时选用适当的抗菌药物。</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全身用抗菌药</w:t>
            </w:r>
          </w:p>
        </w:tc>
      </w:tr>
      <w:tr>
        <w:tblPrEx>
          <w:tblCellMar>
            <w:top w:w="0" w:type="dxa"/>
            <w:left w:w="108" w:type="dxa"/>
            <w:bottom w:w="0" w:type="dxa"/>
            <w:right w:w="108" w:type="dxa"/>
          </w:tblCellMar>
        </w:tblPrEx>
        <w:trPr>
          <w:trHeight w:val="91" w:hRule="atLeast"/>
        </w:trPr>
        <w:tc>
          <w:tcPr>
            <w:tcW w:w="79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雾化吸入治疗</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ABK</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雾化吸入</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心衰标志物</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250306013</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B型钠尿肽前体(PRO-BNP)测定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250310054</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降钙素原检测</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动脉血气分析</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310602006</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血气分析</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D二聚体</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250203066</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血浆D-二聚体测定(D-Dimer)</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痰微生物检测（包括痰涂片/痰培养及药敏试验，呼吸道病原体核酸或抗体检测）</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临床微生物学检查</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G试验</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250501040</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真菌D-葡聚糖检测</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GM试验（必要时，不除外合并真菌感染时）</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250403094</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真菌抗体和抗原测定</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胸片</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792"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肺部CT</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7.</w:t>
      </w:r>
      <w:r>
        <w:rPr>
          <w:rFonts w:ascii="Times New Roman" w:hAnsi="Times New Roman" w:eastAsia="黑体"/>
          <w:color w:val="000000" w:themeColor="text1"/>
          <w:sz w:val="30"/>
          <w:szCs w:val="30"/>
          <w14:textFill>
            <w14:solidFill>
              <w14:schemeClr w14:val="tx1"/>
            </w14:solidFill>
          </w14:textFill>
        </w:rPr>
        <w:t>结核病</w:t>
      </w:r>
    </w:p>
    <w:tbl>
      <w:tblPr>
        <w:tblStyle w:val="4"/>
        <w:tblW w:w="8691" w:type="dxa"/>
        <w:tblInd w:w="93" w:type="dxa"/>
        <w:tblLayout w:type="autofit"/>
        <w:tblCellMar>
          <w:top w:w="0" w:type="dxa"/>
          <w:left w:w="108" w:type="dxa"/>
          <w:bottom w:w="0" w:type="dxa"/>
          <w:right w:w="108" w:type="dxa"/>
        </w:tblCellMar>
      </w:tblPr>
      <w:tblGrid>
        <w:gridCol w:w="773"/>
        <w:gridCol w:w="2625"/>
        <w:gridCol w:w="1618"/>
        <w:gridCol w:w="3675"/>
      </w:tblGrid>
      <w:tr>
        <w:tblPrEx>
          <w:tblCellMar>
            <w:top w:w="0" w:type="dxa"/>
            <w:left w:w="108" w:type="dxa"/>
            <w:bottom w:w="0" w:type="dxa"/>
            <w:right w:w="108" w:type="dxa"/>
          </w:tblCellMar>
        </w:tblPrEx>
        <w:trPr>
          <w:trHeight w:val="90"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结核病</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A15.000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肺结核，经显微镜下痰检查证实，伴有或不伴有痰培养</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A15.100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肺结核，仅经痰培养所证实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A15.200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肺结核，经组织学所证实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A15.300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肺结核，经证实的</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A15.300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肺结核，经证实的</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A15.300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肺结核，经证实的</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A15.400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胸腔内淋巴结结核，经细菌学和组织学所证实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A15.500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喉、气管和支气管结核，经细菌学和组织学所证实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A15.600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结核性胸膜炎，经细菌学和组织学所证实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A15.700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原发性呼吸道结核，经细菌学和组织学所证实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A15.800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呼吸道结核，经细菌学和组织学所证实，其他的</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A16.000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肺结核，细菌学和组织学检查为阴性</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A16.100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肺结核，未做细菌学和组织学检查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A16.200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肺结核，未提及细菌学或组织学的证实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A16.300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胸腔内淋巴结结核，未提及细菌学或组织学的证实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A16.400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喉、气管和支气管结核，未提及细菌学或组织学的证实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A16.500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结核性胸膜炎，未提及细菌学或组织学的证实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A16.700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原发性呼吸道结核，未提及细菌学或组织学的证实</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A16.800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呼吸道结核，未提及细菌学或组织学的证实，其他的</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A16.900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呼吸道结核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A17.800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神经系统的其他结核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A18.000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骨和关节的结核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A18.100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泌尿生殖系统的结核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A18.200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结核性周围淋巴结病</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A18.300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肠、腹膜和肠系膜淋巴结的结核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A18.400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皮肤和皮下组织的结核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A18.500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A18.800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器官的结核，其他特指的</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A19.000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单个特指部位的急性粟粒型结核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人类免疫缺陷病毒病性结核菌感染</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B20.002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人类免疫缺陷病毒病性颈淋巴结结核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B20.003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人类免疫缺陷病毒病性肺结核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B20.004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人类免疫缺陷病毒病性结核性胸膜炎</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B20.005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人类免疫缺陷病毒病性肠结核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B20.006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人类免疫缺陷病毒病性结核性腹膜炎</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O98.000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结核并发于妊娠、分娩和产褥期</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O98.001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妊娠合并结核病</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P37.000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先天性结核病</w:t>
            </w:r>
          </w:p>
        </w:tc>
      </w:tr>
      <w:tr>
        <w:tblPrEx>
          <w:tblCellMar>
            <w:top w:w="0" w:type="dxa"/>
            <w:left w:w="108" w:type="dxa"/>
            <w:bottom w:w="0" w:type="dxa"/>
            <w:right w:w="108" w:type="dxa"/>
          </w:tblCellMar>
        </w:tblPrEx>
        <w:trPr>
          <w:trHeight w:val="9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楷体_GBK" w:cs="方正楷体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一、结核病</w:t>
            </w:r>
            <w:r>
              <w:rPr>
                <w:rFonts w:hint="eastAsia" w:ascii="Times New Roman" w:hAnsi="Times New Roman" w:eastAsia="方正仿宋_GBK" w:cs="方正仿宋_GBK"/>
                <w:color w:val="000000" w:themeColor="text1"/>
                <w:kern w:val="0"/>
                <w:szCs w:val="21"/>
                <w:highlight w:val="none"/>
                <w:lang w:eastAsia="zh-CN" w:bidi="ar"/>
                <w14:textFill>
                  <w14:solidFill>
                    <w14:schemeClr w14:val="tx1"/>
                  </w14:solidFill>
                </w14:textFill>
              </w:rPr>
              <w:t>诊断标准</w:t>
            </w:r>
            <w:r>
              <w:rPr>
                <w:rFonts w:hint="eastAsia" w:ascii="Times New Roman" w:hAnsi="Times New Roman" w:eastAsia="方正仿宋_GBK" w:cs="方正仿宋_GBK"/>
                <w:color w:val="000000" w:themeColor="text1"/>
                <w:kern w:val="0"/>
                <w:szCs w:val="21"/>
                <w:highlight w:val="none"/>
                <w:lang w:bidi="ar"/>
                <w14:textFill>
                  <w14:solidFill>
                    <w14:schemeClr w14:val="tx1"/>
                  </w14:solidFill>
                </w14:textFill>
              </w:rPr>
              <w:br w:type="textWrapping"/>
            </w:r>
            <w:r>
              <w:rPr>
                <w:rFonts w:hint="eastAsia" w:ascii="Times New Roman" w:hAnsi="Times New Roman" w:eastAsia="方正仿宋_GBK" w:cs="方正仿宋_GBK"/>
                <w:color w:val="000000" w:themeColor="text1"/>
                <w:kern w:val="0"/>
                <w:szCs w:val="21"/>
                <w:lang w:bidi="ar"/>
                <w14:textFill>
                  <w14:solidFill>
                    <w14:schemeClr w14:val="tx1"/>
                  </w14:solidFill>
                </w14:textFill>
              </w:rPr>
              <w:t>1.根据中华人民共和国卫生行业标准《结核病分类（WS196-2017）》和《肺结核诊断（WS288-2017）》的标准，由二级及以上医疗机构出具盖鲜章的结核病诊断病历。</w:t>
            </w:r>
            <w:r>
              <w:rPr>
                <w:rFonts w:hint="eastAsia"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color w:val="000000" w:themeColor="text1"/>
                <w:kern w:val="0"/>
                <w:szCs w:val="21"/>
                <w:lang w:bidi="ar"/>
                <w14:textFill>
                  <w14:solidFill>
                    <w14:schemeClr w14:val="tx1"/>
                  </w14:solidFill>
                </w14:textFill>
              </w:rPr>
              <w:t>2.具有结核病相关的临床症状和体征，结核分枝杆菌病原学、病理学、影像学等检查有活动性结核的证据，医疗机构提供相应病原学、病理学、影像学报告。</w:t>
            </w:r>
            <w:r>
              <w:rPr>
                <w:rFonts w:hint="eastAsia"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color w:val="000000" w:themeColor="text1"/>
                <w:kern w:val="0"/>
                <w:szCs w:val="21"/>
                <w:lang w:bidi="ar"/>
                <w14:textFill>
                  <w14:solidFill>
                    <w14:schemeClr w14:val="tx1"/>
                  </w14:solidFill>
                </w14:textFill>
              </w:rPr>
              <w:t>3.包含肺结核和肺外结核。肺结核指病变发生在肺、气管、支气管和胸膜等部位。肺外结核指病变发生在肺以外的器官和部位。如淋巴结、骨、关节、泌尿生殖系统、消化系统、中枢神经系统等部位。</w:t>
            </w:r>
            <w:r>
              <w:rPr>
                <w:rFonts w:hint="eastAsia"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color w:val="000000" w:themeColor="text1"/>
                <w:kern w:val="0"/>
                <w:szCs w:val="21"/>
                <w:lang w:bidi="ar"/>
                <w14:textFill>
                  <w14:solidFill>
                    <w14:schemeClr w14:val="tx1"/>
                  </w14:solidFill>
                </w14:textFill>
              </w:rPr>
              <w:t>二、结核病特病待遇有效期为1年，1年后终止特病待遇，如需继续治疗需按以下标准重新办理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1.二级及以上医疗机构出具盖鲜章的结核病病历，由经治医生注明“患者需继续服用抗结核药物，申请续办结核病特病”。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2.二级及以上医疗机构提供患者最新的影像学报告。</w:t>
            </w:r>
          </w:p>
        </w:tc>
      </w:tr>
      <w:tr>
        <w:tblPrEx>
          <w:tblCellMar>
            <w:top w:w="0" w:type="dxa"/>
            <w:left w:w="108" w:type="dxa"/>
            <w:bottom w:w="0" w:type="dxa"/>
            <w:right w:w="108" w:type="dxa"/>
          </w:tblCellMar>
        </w:tblPrEx>
        <w:trPr>
          <w:trHeight w:val="90"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抗结核药物</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XJ01G</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氨基糖苷类抗菌药</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XJ01MA</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氟喹诺酮类</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XJ01XX</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其他抗菌药</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抗分枝杆菌药</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药物副作用导致的肝损害相关治疗</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胆和肝治疗药</w:t>
            </w:r>
          </w:p>
        </w:tc>
      </w:tr>
      <w:tr>
        <w:tblPrEx>
          <w:tblCellMar>
            <w:top w:w="0" w:type="dxa"/>
            <w:left w:w="108" w:type="dxa"/>
            <w:bottom w:w="0" w:type="dxa"/>
            <w:right w:w="108" w:type="dxa"/>
          </w:tblCellMar>
        </w:tblPrEx>
        <w:trPr>
          <w:trHeight w:val="90"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血清前白蛋白测定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经纤支镜检查和治疗</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310605006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经纤支镜肺泡灌洗诊疗术</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病原学检查</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250501002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结核菌涂片检查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250501013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结核菌培养</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250502004a</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结核菌药敏试验</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250403065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各类病原体DNA测定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280000001q</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结核感染T细胞检测</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结核分枝杆菌直接检测(MTD)</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280000015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核酸多聚酶链反应检查诊断</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280000001p</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结核分枝杆菌耐药基因检测</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X线检查、CT平扫或增强、B超、彩超（限结核部位）</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X线计算机体层(CT)扫描</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nil"/>
              <w:left w:val="nil"/>
              <w:bottom w:val="nil"/>
              <w:right w:val="nil"/>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w:t>
            </w:r>
          </w:p>
        </w:tc>
        <w:tc>
          <w:tcPr>
            <w:tcW w:w="3675" w:type="dxa"/>
            <w:tcBorders>
              <w:top w:val="single" w:color="000000" w:sz="4" w:space="0"/>
              <w:left w:val="single" w:color="000000" w:sz="4" w:space="0"/>
              <w:bottom w:val="nil"/>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普通彩色多普勒超声检查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磁共振平扫或增强（限骨或中枢神经系统结核）</w:t>
            </w:r>
          </w:p>
        </w:tc>
        <w:tc>
          <w:tcPr>
            <w:tcW w:w="161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2102</w:t>
            </w:r>
          </w:p>
        </w:tc>
        <w:tc>
          <w:tcPr>
            <w:tcW w:w="3675"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磁共振扫描(MRI)</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EC</w:t>
            </w:r>
          </w:p>
        </w:tc>
        <w:tc>
          <w:tcPr>
            <w:tcW w:w="3675"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磁共振检查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675"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视力（限使用链霉素、乙胺丁醇类药物且怀疑视力受损的患者）</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眼底照相</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310300005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视野检查</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310300068</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视诱发电位(VEP)</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光学相干断层成相(OCT)</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听力（限使用氨基糖苷类药物且怀疑听力受损的患者）</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310401002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纯音听阈测定</w:t>
            </w:r>
          </w:p>
        </w:tc>
      </w:tr>
      <w:tr>
        <w:tblPrEx>
          <w:tblCellMar>
            <w:top w:w="0" w:type="dxa"/>
            <w:left w:w="108" w:type="dxa"/>
            <w:bottom w:w="0" w:type="dxa"/>
            <w:right w:w="108" w:type="dxa"/>
          </w:tblCellMar>
        </w:tblPrEx>
        <w:trPr>
          <w:trHeight w:val="90"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310401015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耳声发射检查</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8.</w:t>
      </w:r>
      <w:r>
        <w:rPr>
          <w:rFonts w:ascii="Times New Roman" w:hAnsi="Times New Roman" w:eastAsia="黑体"/>
          <w:color w:val="000000" w:themeColor="text1"/>
          <w:sz w:val="30"/>
          <w:szCs w:val="30"/>
          <w14:textFill>
            <w14:solidFill>
              <w14:schemeClr w14:val="tx1"/>
            </w14:solidFill>
          </w14:textFill>
        </w:rPr>
        <w:t>慢性乙型肝炎病毒感染</w:t>
      </w:r>
    </w:p>
    <w:tbl>
      <w:tblPr>
        <w:tblStyle w:val="4"/>
        <w:tblW w:w="8691" w:type="dxa"/>
        <w:tblInd w:w="93" w:type="dxa"/>
        <w:tblLayout w:type="fixed"/>
        <w:tblCellMar>
          <w:top w:w="0" w:type="dxa"/>
          <w:left w:w="108" w:type="dxa"/>
          <w:bottom w:w="0" w:type="dxa"/>
          <w:right w:w="108" w:type="dxa"/>
        </w:tblCellMar>
      </w:tblPr>
      <w:tblGrid>
        <w:gridCol w:w="711"/>
        <w:gridCol w:w="2452"/>
        <w:gridCol w:w="2005"/>
        <w:gridCol w:w="3523"/>
      </w:tblGrid>
      <w:tr>
        <w:tblPrEx>
          <w:tblCellMar>
            <w:top w:w="0" w:type="dxa"/>
            <w:left w:w="108" w:type="dxa"/>
            <w:bottom w:w="0" w:type="dxa"/>
            <w:right w:w="108" w:type="dxa"/>
          </w:tblCellMar>
        </w:tblPrEx>
        <w:trPr>
          <w:trHeight w:val="91"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慢性乙型肝炎病毒感染</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B18.000</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慢性乙型病毒性肝炎，伴有δ因子</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B18.100</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慢性乙型病毒性肝炎，不伴有δ因子</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B18.100x001</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病毒性肝炎乙型慢性重型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B18.100x007</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病毒性肝炎乙型慢性淤胆型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B18.101</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慢性活动型乙型病毒性肝炎</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B18.102</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慢性迁延型乙型病毒性肝炎</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B18.104</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慢性轻度乙型病毒性肝炎</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慢性中度乙型病毒性肝炎</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B18.106</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慢性重度乙型病毒性肝炎</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B18.107</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慢性乙型病毒性肝炎</w:t>
            </w:r>
          </w:p>
        </w:tc>
      </w:tr>
      <w:tr>
        <w:tblPrEx>
          <w:tblCellMar>
            <w:top w:w="0" w:type="dxa"/>
            <w:left w:w="108" w:type="dxa"/>
            <w:bottom w:w="0" w:type="dxa"/>
            <w:right w:w="108" w:type="dxa"/>
          </w:tblCellMar>
        </w:tblPrEx>
        <w:trPr>
          <w:trHeight w:val="9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ascii="Times New Roman" w:hAnsi="Times New Roman" w:eastAsia="方正楷体_GBK" w:cs="方正楷体_GBK"/>
                <w:b/>
                <w:bCs/>
                <w:color w:val="000000" w:themeColor="text1"/>
                <w:szCs w:val="21"/>
                <w14:textFill>
                  <w14:solidFill>
                    <w14:schemeClr w14:val="tx1"/>
                  </w14:solidFill>
                </w14:textFill>
              </w:rPr>
            </w:pP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符合以下三项中一项即可：</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一、血清HBV DNA阳性、ALT低于正常高值患者，如有以下情形之一：</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1.无创指标或肝组织学检查，提示肝脏存在明显炎症（≥G2）或纤维化（≥S2）；</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2.有乙肝肝炎肝硬化或HCC家族史；</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3.年龄&gt;30岁；</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4.有HBV相关的肝外表现（肾小球肾炎、血管炎、结节性多动脉炎、周围神经病变等）。</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二、血清HBV DNA阳性、 ALT持续异常（＞ ULN）且排除其他原因所致者。</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三、HBsAg阳性，有以下情况之一：</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1.失代偿期肝硬化；</w:t>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hint="eastAsia" w:ascii="Times New Roman" w:hAnsi="Times New Roman" w:eastAsia="方正仿宋_GBK" w:cs="方正仿宋_GBK"/>
                <w:b w:val="0"/>
                <w:bCs w:val="0"/>
                <w:color w:val="000000" w:themeColor="text1"/>
                <w:kern w:val="0"/>
                <w:szCs w:val="21"/>
                <w:lang w:bidi="ar"/>
                <w14:textFill>
                  <w14:solidFill>
                    <w14:schemeClr w14:val="tx1"/>
                  </w14:solidFill>
                </w14:textFill>
              </w:rPr>
              <w:t>2.肝衰竭；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3.肝移植；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4.HBV相关HCC；</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5.接受化疗治疗、靶向药物及免疫抑制剂治疗；</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6.合并HCV感染，使用DAA治疗。</w:t>
            </w:r>
          </w:p>
        </w:tc>
      </w:tr>
      <w:tr>
        <w:tblPrEx>
          <w:tblCellMar>
            <w:top w:w="0" w:type="dxa"/>
            <w:left w:w="108" w:type="dxa"/>
            <w:bottom w:w="0" w:type="dxa"/>
            <w:right w:w="108" w:type="dxa"/>
          </w:tblCellMar>
        </w:tblPrEx>
        <w:trPr>
          <w:trHeight w:val="91"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5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病因治疗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全身用抗病毒药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XL03AB</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干扰素类</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对症治疗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XA05A</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胆治疗药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XA16</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其他消化道及代谢用药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XA05B</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肝脏治疗药，抗脂肪肝药</w:t>
            </w:r>
          </w:p>
        </w:tc>
      </w:tr>
      <w:tr>
        <w:tblPrEx>
          <w:tblCellMar>
            <w:top w:w="0" w:type="dxa"/>
            <w:left w:w="108" w:type="dxa"/>
            <w:bottom w:w="0" w:type="dxa"/>
            <w:right w:w="108" w:type="dxa"/>
          </w:tblCellMar>
        </w:tblPrEx>
        <w:trPr>
          <w:trHeight w:val="91"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5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250307009</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肝纤维化检测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250305018</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血清Ⅳ型胶原测定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250305019</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血清Ⅲ型胶原测定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250305020</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血清层粘连蛋白测定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250305022</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血清透明质酸酶测定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HBV_DNA检测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250403003</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乙型肝炎DNA测定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250402002</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抗核抗体测定(ANA)</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甲胎蛋白测定</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250404002</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甲胎蛋白测定(AFP)</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乙肝两对半（定性、定量）</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骨密度（医保基金支付不超过1次/年）</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腹部超声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5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1</w:t>
      </w:r>
      <w:r>
        <w:rPr>
          <w:rFonts w:ascii="Times New Roman" w:hAnsi="Times New Roman"/>
          <w:color w:val="000000" w:themeColor="text1"/>
          <w:sz w:val="30"/>
          <w:szCs w:val="30"/>
          <w14:textFill>
            <w14:solidFill>
              <w14:schemeClr w14:val="tx1"/>
            </w14:solidFill>
          </w14:textFill>
        </w:rPr>
        <w:t>9.</w:t>
      </w:r>
      <w:r>
        <w:rPr>
          <w:rFonts w:ascii="Times New Roman" w:hAnsi="Times New Roman" w:eastAsia="黑体"/>
          <w:color w:val="000000" w:themeColor="text1"/>
          <w:sz w:val="30"/>
          <w:szCs w:val="30"/>
          <w14:textFill>
            <w14:solidFill>
              <w14:schemeClr w14:val="tx1"/>
            </w14:solidFill>
          </w14:textFill>
        </w:rPr>
        <w:t>丙型肝炎</w:t>
      </w:r>
    </w:p>
    <w:tbl>
      <w:tblPr>
        <w:tblStyle w:val="4"/>
        <w:tblW w:w="8798" w:type="dxa"/>
        <w:tblInd w:w="93" w:type="dxa"/>
        <w:tblLayout w:type="fixed"/>
        <w:tblCellMar>
          <w:top w:w="0" w:type="dxa"/>
          <w:left w:w="108" w:type="dxa"/>
          <w:bottom w:w="0" w:type="dxa"/>
          <w:right w:w="108" w:type="dxa"/>
        </w:tblCellMar>
      </w:tblPr>
      <w:tblGrid>
        <w:gridCol w:w="771"/>
        <w:gridCol w:w="2788"/>
        <w:gridCol w:w="1969"/>
        <w:gridCol w:w="3270"/>
      </w:tblGrid>
      <w:tr>
        <w:tblPrEx>
          <w:tblCellMar>
            <w:top w:w="0" w:type="dxa"/>
            <w:left w:w="108" w:type="dxa"/>
            <w:bottom w:w="0" w:type="dxa"/>
            <w:right w:w="108" w:type="dxa"/>
          </w:tblCellMar>
        </w:tblPrEx>
        <w:trPr>
          <w:trHeight w:val="91"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B18.200</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慢性丙型病毒性肝炎</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B18.200x009</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病毒性肝炎丙型慢性淤疸型</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B18.200x011</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慢性活动性丙型病毒性肝炎</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B18.200x012</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慢性迁延性丙型病毒性肝炎</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B18.201</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慢性黄疸型丙型病毒性肝炎</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B18.202</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慢性轻度丙型病毒性肝炎</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B18.203</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慢性中度丙型病毒性肝炎</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B18.204</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慢性重度丙型病毒性肝炎</w:t>
            </w:r>
          </w:p>
        </w:tc>
      </w:tr>
      <w:tr>
        <w:tblPrEx>
          <w:tblCellMar>
            <w:top w:w="0" w:type="dxa"/>
            <w:left w:w="108" w:type="dxa"/>
            <w:bottom w:w="0" w:type="dxa"/>
            <w:right w:w="108" w:type="dxa"/>
          </w:tblCellMar>
        </w:tblPrEx>
        <w:trPr>
          <w:trHeight w:val="9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HCV-RNA阳性（启动治疗后有效期为6个月，6个月后终止特病待遇，再次感染或复发后需要重新办理）</w:t>
            </w:r>
          </w:p>
        </w:tc>
      </w:tr>
      <w:tr>
        <w:tblPrEx>
          <w:tblCellMar>
            <w:top w:w="0" w:type="dxa"/>
            <w:left w:w="108" w:type="dxa"/>
            <w:bottom w:w="0" w:type="dxa"/>
            <w:right w:w="108" w:type="dxa"/>
          </w:tblCellMar>
        </w:tblPrEx>
        <w:trPr>
          <w:trHeight w:val="91"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抗丙肝病毒治疗</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XJ05</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全身用抗病毒药（DAA）</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XL03AB</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干扰素（限对DAA治疗无效）</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对症治疗</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XA05A</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胆治疗药</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XA16</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其他消化道及代谢用药</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XA05B</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肝脏治疗药，抗脂肪肝药</w:t>
            </w:r>
          </w:p>
        </w:tc>
      </w:tr>
      <w:tr>
        <w:tblPrEx>
          <w:tblCellMar>
            <w:top w:w="0" w:type="dxa"/>
            <w:left w:w="108" w:type="dxa"/>
            <w:bottom w:w="0" w:type="dxa"/>
            <w:right w:w="108" w:type="dxa"/>
          </w:tblCellMar>
        </w:tblPrEx>
        <w:trPr>
          <w:trHeight w:val="91"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2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250305005</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血清总胆汁酸测定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250307009</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β2微球蛋白测定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肝纤维化检测</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250305018</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血清Ⅳ型胶原测定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250305019</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血清Ⅲ型胶原测定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250305020</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血清层粘连蛋白测定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250305022</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血清透明质酸酶测定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250402002</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抗核抗体测定(ANA)</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甲胎蛋白测定</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250404002</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甲胎蛋白测定(AFP)</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乙肝两对半（定性、定量）</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250403003</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乙型肝炎DNA测定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250403004</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乙型肝炎表面抗原测定(HBsAg)</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250403005</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乙型肝炎表面抗体测定(AntiHBs)</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250403006</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乙型肝炎e抗原测定(HBeAg)</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250403007</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乙型肝炎e抗体测定(AntiHBe)</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250403009</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乙型肝炎核心抗体测定(AntiHBc)</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丙型肝炎RNA</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250403013</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丙型肝炎RNA测定</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HCV基因分型</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250403071</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丙型肝炎病毒(HCV)基因分型</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腹部超声</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rPr>
                <w:rFonts w:ascii="Times New Roman" w:hAnsi="Times New Roman" w:eastAsia="方正仿宋_GBK" w:cs="方正仿宋_GBK"/>
                <w:color w:val="000000" w:themeColor="text1"/>
                <w:szCs w:val="21"/>
                <w14:textFill>
                  <w14:solidFill>
                    <w14:schemeClr w14:val="tx1"/>
                  </w14:solidFill>
                </w14:textFill>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0.</w:t>
      </w:r>
      <w:r>
        <w:rPr>
          <w:rFonts w:ascii="Times New Roman" w:hAnsi="Times New Roman" w:eastAsia="黑体"/>
          <w:color w:val="000000" w:themeColor="text1"/>
          <w:sz w:val="30"/>
          <w:szCs w:val="30"/>
          <w14:textFill>
            <w14:solidFill>
              <w14:schemeClr w14:val="tx1"/>
            </w14:solidFill>
          </w14:textFill>
        </w:rPr>
        <w:t>真性红细胞增多症</w:t>
      </w:r>
    </w:p>
    <w:tbl>
      <w:tblPr>
        <w:tblStyle w:val="4"/>
        <w:tblW w:w="8691" w:type="dxa"/>
        <w:tblInd w:w="93" w:type="dxa"/>
        <w:tblLayout w:type="fixed"/>
        <w:tblCellMar>
          <w:top w:w="0" w:type="dxa"/>
          <w:left w:w="108" w:type="dxa"/>
          <w:bottom w:w="0" w:type="dxa"/>
          <w:right w:w="108" w:type="dxa"/>
        </w:tblCellMar>
      </w:tblPr>
      <w:tblGrid>
        <w:gridCol w:w="728"/>
        <w:gridCol w:w="3030"/>
        <w:gridCol w:w="1948"/>
        <w:gridCol w:w="2985"/>
      </w:tblGrid>
      <w:tr>
        <w:tblPrEx>
          <w:tblCellMar>
            <w:top w:w="0" w:type="dxa"/>
            <w:left w:w="108" w:type="dxa"/>
            <w:bottom w:w="0" w:type="dxa"/>
            <w:right w:w="108" w:type="dxa"/>
          </w:tblCellMar>
        </w:tblPrEx>
        <w:trPr>
          <w:trHeight w:val="90"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真性红细胞增多症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D45.x00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真性红细胞增多症</w:t>
            </w:r>
          </w:p>
        </w:tc>
      </w:tr>
      <w:tr>
        <w:tblPrEx>
          <w:tblCellMar>
            <w:top w:w="0" w:type="dxa"/>
            <w:left w:w="108" w:type="dxa"/>
            <w:bottom w:w="0" w:type="dxa"/>
            <w:right w:w="108" w:type="dxa"/>
          </w:tblCellMar>
        </w:tblPrEx>
        <w:trPr>
          <w:trHeight w:val="90"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一、临床有多血症表现：</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皮肤、黏膜呈绛红色，尤以两颊、口唇、眼结合膜、手掌等处为著。</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二、实验室检查：</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（一）血红蛋白测定及红细胞计数明显增加；</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（二）未治前多次血红蛋白≥180g/L(男性)，或≥170g/L(女性)，红细胞计数≥6.5×1012/L(男性)或≥6.0×1012/L（女性）；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（三）红细胞比积增高，男性≥0.54，女性≥0.50；</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（四）骨髓象提示增生明显活跃，粒、红与巨核细胞系均增生，尤以红系细胞为显著；</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（五）骨髓活检：红系显著增生。</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三、能除外继发性红细胞增多症，如慢性肺脏疾病引起的红细胞增多，先天性心脏病等。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四、能除外相对性红细胞增多症。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五、CMPN相关基因检查阳性。</w:t>
            </w:r>
          </w:p>
        </w:tc>
      </w:tr>
      <w:tr>
        <w:tblPrEx>
          <w:tblCellMar>
            <w:top w:w="0" w:type="dxa"/>
            <w:left w:w="108" w:type="dxa"/>
            <w:bottom w:w="0" w:type="dxa"/>
            <w:right w:w="108" w:type="dxa"/>
          </w:tblCellMar>
        </w:tblPrEx>
        <w:trPr>
          <w:trHeight w:val="90"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Style w:val="12"/>
                <w:rFonts w:hint="eastAsia" w:ascii="Times New Roman" w:hAnsi="Times New Roman" w:eastAsia="方正黑体_GBK"/>
                <w:color w:val="000000" w:themeColor="text1"/>
                <w:sz w:val="21"/>
                <w:szCs w:val="21"/>
                <w:lang w:eastAsia="zh-CN" w:bidi="ar"/>
                <w14:textFill>
                  <w14:solidFill>
                    <w14:schemeClr w14:val="tx1"/>
                  </w14:solidFill>
                </w14:textFill>
              </w:rPr>
              <w:t>药品类别</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骨髓抑制药物</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XL01XX</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其他抗肿瘤药</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干扰素类药物</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XL03AB</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干扰素类</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JAK抑制剂</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XL01EJ</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Janus相关激酶(JAK)抑制剂</w:t>
            </w:r>
          </w:p>
        </w:tc>
      </w:tr>
      <w:tr>
        <w:tblPrEx>
          <w:tblCellMar>
            <w:top w:w="0" w:type="dxa"/>
            <w:left w:w="108" w:type="dxa"/>
            <w:bottom w:w="0" w:type="dxa"/>
            <w:right w:w="108" w:type="dxa"/>
          </w:tblCellMar>
        </w:tblPrEx>
        <w:trPr>
          <w:trHeight w:val="90"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红斑性肢痛用药（阿司匹林）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0" w:hRule="atLeast"/>
        </w:trPr>
        <w:tc>
          <w:tcPr>
            <w:tcW w:w="728" w:type="dxa"/>
            <w:vMerge w:val="restart"/>
            <w:tcBorders>
              <w:top w:val="nil"/>
              <w:left w:val="single" w:color="auto"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0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4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72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8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2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8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骨髓细胞形态学</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骨髓穿刺术</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250201007</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骨髓特殊染色及酶组织化学染色检查</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骨髓活检术</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270300004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骨髓组织活检检查与诊断</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D-二聚体</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250203066</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血浆D-二聚体测定(D-Dimer)</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腹部超声</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放血治疗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430000021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放血疗法</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430000021.10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放血疗法(穴位放血)</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430000021.20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放血疗法(静脉放血)</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PBCD0101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穴位放血治疗</w:t>
            </w:r>
          </w:p>
        </w:tc>
      </w:tr>
      <w:tr>
        <w:tblPrEx>
          <w:tblCellMar>
            <w:top w:w="0" w:type="dxa"/>
            <w:left w:w="108" w:type="dxa"/>
            <w:bottom w:w="0" w:type="dxa"/>
            <w:right w:w="108" w:type="dxa"/>
          </w:tblCellMar>
        </w:tblPrEx>
        <w:trPr>
          <w:trHeight w:val="90" w:hRule="atLeast"/>
        </w:trPr>
        <w:tc>
          <w:tcPr>
            <w:tcW w:w="728"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PBCD0102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静脉放血治疗</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原发性血小板增多症</w:t>
      </w:r>
    </w:p>
    <w:tbl>
      <w:tblPr>
        <w:tblStyle w:val="4"/>
        <w:tblW w:w="8691" w:type="dxa"/>
        <w:tblInd w:w="93" w:type="dxa"/>
        <w:tblLayout w:type="fixed"/>
        <w:tblCellMar>
          <w:top w:w="0" w:type="dxa"/>
          <w:left w:w="108" w:type="dxa"/>
          <w:bottom w:w="0" w:type="dxa"/>
          <w:right w:w="108" w:type="dxa"/>
        </w:tblCellMar>
      </w:tblPr>
      <w:tblGrid>
        <w:gridCol w:w="833"/>
        <w:gridCol w:w="2820"/>
        <w:gridCol w:w="1993"/>
        <w:gridCol w:w="3045"/>
      </w:tblGrid>
      <w:tr>
        <w:tblPrEx>
          <w:tblCellMar>
            <w:top w:w="0" w:type="dxa"/>
            <w:left w:w="108" w:type="dxa"/>
            <w:bottom w:w="0" w:type="dxa"/>
            <w:right w:w="108" w:type="dxa"/>
          </w:tblCellMar>
        </w:tblPrEx>
        <w:trPr>
          <w:trHeight w:val="91" w:hRule="atLeast"/>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原发性血小板增多症</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D47.300</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特发性（出血性）血小板增多症</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D69.200x007</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血小板增多性紫癜</w:t>
            </w:r>
          </w:p>
        </w:tc>
      </w:tr>
      <w:tr>
        <w:tblPrEx>
          <w:tblCellMar>
            <w:top w:w="0" w:type="dxa"/>
            <w:left w:w="108" w:type="dxa"/>
            <w:bottom w:w="0" w:type="dxa"/>
            <w:right w:w="108" w:type="dxa"/>
          </w:tblCellMar>
        </w:tblPrEx>
        <w:trPr>
          <w:trHeight w:val="9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实验室检查：</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一、血小板计数﹥450×109/L。</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二、骨髓增生活跃或以上，或巨核细胞增多、体大、胞浆丰富，巨核细胞形态可无明显异常。</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三、白细胞计数和中性粒细胞增加，白细胞数常增多，但亦可正常。</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凡临床符合，血小板&gt;450×109/L，可除外其他骨髓增生性疾病和继发性血小板增多症者，即可诊断为原发性血小板增多症。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四、CMPN相关基因检查阳性。</w:t>
            </w:r>
          </w:p>
        </w:tc>
      </w:tr>
      <w:tr>
        <w:tblPrEx>
          <w:tblCellMar>
            <w:top w:w="0" w:type="dxa"/>
            <w:left w:w="108" w:type="dxa"/>
            <w:bottom w:w="0" w:type="dxa"/>
            <w:right w:w="108" w:type="dxa"/>
          </w:tblCellMar>
        </w:tblPrEx>
        <w:trPr>
          <w:trHeight w:val="91" w:hRule="atLeast"/>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骨髓抑制药物</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XL01XX</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其他抗肿瘤药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干扰素类药物</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XL03AB</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干扰素类</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抗血小板药物（阿司匹林、双嘧达莫、氯吡格雷）</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8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细胞形态学（或称外周血涂片）</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250101007</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异常红细胞形态检查</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250101012</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异常白细胞形态检查</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250101010</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白细胞分类计数(DC)</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D-二聚体</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250203066</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血浆D-二聚体测定(D-Dimer)</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腹部超声</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骨髓细胞形态学</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310800001</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250201007</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骨髓特殊染色及酶组织化学染色检查</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310800002</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r>
        <w:tblPrEx>
          <w:tblCellMar>
            <w:top w:w="0" w:type="dxa"/>
            <w:left w:w="108" w:type="dxa"/>
            <w:bottom w:w="0" w:type="dxa"/>
            <w:right w:w="108" w:type="dxa"/>
          </w:tblCellMar>
        </w:tblPrEx>
        <w:trPr>
          <w:trHeight w:val="91" w:hRule="atLeast"/>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270300004</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骨髓组织活检检查与诊断</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2.</w:t>
      </w:r>
      <w:r>
        <w:rPr>
          <w:rFonts w:ascii="Times New Roman" w:hAnsi="Times New Roman" w:eastAsia="黑体"/>
          <w:color w:val="000000" w:themeColor="text1"/>
          <w:sz w:val="30"/>
          <w:szCs w:val="30"/>
          <w14:textFill>
            <w14:solidFill>
              <w14:schemeClr w14:val="tx1"/>
            </w14:solidFill>
          </w14:textFill>
        </w:rPr>
        <w:t>原发性骨髓纤维化症</w:t>
      </w:r>
    </w:p>
    <w:tbl>
      <w:tblPr>
        <w:tblStyle w:val="4"/>
        <w:tblW w:w="8691" w:type="dxa"/>
        <w:tblInd w:w="93" w:type="dxa"/>
        <w:tblLayout w:type="fixed"/>
        <w:tblCellMar>
          <w:top w:w="0" w:type="dxa"/>
          <w:left w:w="108" w:type="dxa"/>
          <w:bottom w:w="0" w:type="dxa"/>
          <w:right w:w="108" w:type="dxa"/>
        </w:tblCellMar>
      </w:tblPr>
      <w:tblGrid>
        <w:gridCol w:w="743"/>
        <w:gridCol w:w="2655"/>
        <w:gridCol w:w="2008"/>
        <w:gridCol w:w="3285"/>
      </w:tblGrid>
      <w:tr>
        <w:tblPrEx>
          <w:tblCellMar>
            <w:top w:w="0" w:type="dxa"/>
            <w:left w:w="108" w:type="dxa"/>
            <w:bottom w:w="0" w:type="dxa"/>
            <w:right w:w="108" w:type="dxa"/>
          </w:tblCellMar>
        </w:tblPrEx>
        <w:trPr>
          <w:trHeight w:val="91"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原发性骨髓纤维化症</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D47.401</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慢性原发性（特发性）骨髓纤维化</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D47.402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（特发性）（髓样化生性）骨髓纤维化</w:t>
            </w:r>
          </w:p>
        </w:tc>
      </w:tr>
      <w:tr>
        <w:tblPrEx>
          <w:tblCellMar>
            <w:top w:w="0" w:type="dxa"/>
            <w:left w:w="108" w:type="dxa"/>
            <w:bottom w:w="0" w:type="dxa"/>
            <w:right w:w="108" w:type="dxa"/>
          </w:tblCellMar>
        </w:tblPrEx>
        <w:trPr>
          <w:trHeight w:val="91"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一、脾大。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二、外周血象出现幼稚粒细胞和(或)有核红细胞，有数量不一的泪滴状红细胞，病程中可有红细胞、白细胞及血小板的增多或减少。</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三、骨髓穿刺多次“干抽”或呈“增生低下”。</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四、脾、肝、淋巴结病理检查示有造血灶。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五、骨髓活检病理切片显示纤维组织明显增生。</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六、CMPN相关基因检查阳性。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上述第五为必备条件，加其他任何两项，并能排除继发性骨髓纤维化者，可诊断为原发性骨髓纤维化症（IMF）。</w:t>
            </w:r>
          </w:p>
        </w:tc>
      </w:tr>
      <w:tr>
        <w:tblPrEx>
          <w:tblCellMar>
            <w:top w:w="0" w:type="dxa"/>
            <w:left w:w="108" w:type="dxa"/>
            <w:bottom w:w="0" w:type="dxa"/>
            <w:right w:w="108" w:type="dxa"/>
          </w:tblCellMar>
        </w:tblPrEx>
        <w:trPr>
          <w:trHeight w:val="91"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2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JAK抑制剂</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XL01EJ</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Janus相关激酶(JAK)抑制剂</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骨髓抑制药物</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XL01XX</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其他抗肿瘤药</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雄激素类药物</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XG03A</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全身用激素类避孕药</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激素</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43"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纠正贫血用药（重组人促红素注射液）</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7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6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08"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细胞形态学（或称外周血涂片）</w:t>
            </w: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250101007</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异常红细胞形态检查</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异常白细胞形态检查</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250101010</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白细胞分类计数(DC)</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腹部超声</w:t>
            </w: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220201002.20</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B超常规检查(腹部)</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220301001b</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彩色多普勒超声常规检查(腹部)</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骨髓细胞形态学</w:t>
            </w: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310800001</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骨髓穿刺术</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250201007</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骨髓特殊染色及酶组织化学染色检查</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250201001</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骨髓涂片细胞学检验</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w:t>
            </w: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310800002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骨髓活检术</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270800006</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显微摄影术</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270500001</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特殊染色及酶组织化学染色诊断</w:t>
            </w:r>
          </w:p>
        </w:tc>
      </w:tr>
      <w:tr>
        <w:tblPrEx>
          <w:tblCellMar>
            <w:top w:w="0" w:type="dxa"/>
            <w:left w:w="108" w:type="dxa"/>
            <w:bottom w:w="0" w:type="dxa"/>
            <w:right w:w="108" w:type="dxa"/>
          </w:tblCellMar>
        </w:tblPrEx>
        <w:trPr>
          <w:trHeight w:val="91" w:hRule="atLeast"/>
        </w:trPr>
        <w:tc>
          <w:tcPr>
            <w:tcW w:w="7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55"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270300004</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骨髓组织活检检查与诊断</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3.</w:t>
      </w:r>
      <w:r>
        <w:rPr>
          <w:rFonts w:ascii="Times New Roman" w:hAnsi="Times New Roman" w:eastAsia="黑体"/>
          <w:color w:val="000000" w:themeColor="text1"/>
          <w:sz w:val="30"/>
          <w:szCs w:val="30"/>
          <w14:textFill>
            <w14:solidFill>
              <w14:schemeClr w14:val="tx1"/>
            </w14:solidFill>
          </w14:textFill>
        </w:rPr>
        <w:t>系统性红斑狼疮</w:t>
      </w:r>
    </w:p>
    <w:tbl>
      <w:tblPr>
        <w:tblStyle w:val="4"/>
        <w:tblW w:w="8828" w:type="dxa"/>
        <w:tblInd w:w="93" w:type="dxa"/>
        <w:tblLayout w:type="fixed"/>
        <w:tblCellMar>
          <w:top w:w="0" w:type="dxa"/>
          <w:left w:w="108" w:type="dxa"/>
          <w:bottom w:w="0" w:type="dxa"/>
          <w:right w:w="108" w:type="dxa"/>
        </w:tblCellMar>
      </w:tblPr>
      <w:tblGrid>
        <w:gridCol w:w="713"/>
        <w:gridCol w:w="780"/>
        <w:gridCol w:w="2190"/>
        <w:gridCol w:w="1513"/>
        <w:gridCol w:w="3632"/>
      </w:tblGrid>
      <w:tr>
        <w:tblPrEx>
          <w:tblCellMar>
            <w:top w:w="0" w:type="dxa"/>
            <w:left w:w="108" w:type="dxa"/>
            <w:bottom w:w="0" w:type="dxa"/>
            <w:right w:w="108" w:type="dxa"/>
          </w:tblCellMar>
        </w:tblPrEx>
        <w:trPr>
          <w:trHeight w:val="90"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系统性红斑狼疮</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系统性红斑狼疮，累及器官或系统</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M32.100x001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狼疮性肾损害</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M32.100x007</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狼疮性肺病变</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M32.100x008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狼疮性神经炎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M32.100x014+G73.7*</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系统性红斑狼疮合并肌病</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M32.100x016</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狼疮性关节炎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M32.100x018+K93.8*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狼疮累及胃肠道</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M32.100x021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狼疮性痴呆</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M32.101+N08.5*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狼疮性肾炎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M32.102+N16.4*</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狼疮性肾小管间质肾炎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M32.103+J99.1*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狼疮性肺炎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M32.104+I43.8*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狼疮性心肌病</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M32.105+I32.8*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狼疮性心包炎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M32.106+G63.5*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狼疮性周围神经病</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M32.107+G99.2*</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狼疮性脊髓病变</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M32.108+K77.8*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狼疮性肝损害</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M32.110+G73.7*</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狼疮性肌病</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M32.111+D77*</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狼疮性血液系统损害</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M32.112+K93.8*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狼疮性胃肠道损害</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M32.113+H36.8*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狼疮性视网膜病变</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M32.114+G94.8*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狼疮性脑病</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M32.115+K67.8*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狼疮性浆膜炎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M32.800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系统性红斑狼疮，其他形式的</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M32.900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系统性红斑狼疮</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M32.901</w:t>
            </w:r>
          </w:p>
        </w:tc>
        <w:tc>
          <w:tcPr>
            <w:tcW w:w="363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隐匿性系统性红斑狼疮</w:t>
            </w:r>
          </w:p>
        </w:tc>
      </w:tr>
      <w:tr>
        <w:tblPrEx>
          <w:tblCellMar>
            <w:top w:w="0" w:type="dxa"/>
            <w:left w:w="108" w:type="dxa"/>
            <w:bottom w:w="0" w:type="dxa"/>
            <w:right w:w="108" w:type="dxa"/>
          </w:tblCellMar>
        </w:tblPrEx>
        <w:trPr>
          <w:trHeight w:val="90" w:hRule="atLeast"/>
        </w:trPr>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1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pPr>
            <w:r>
              <w:rPr>
                <w:rFonts w:ascii="Times New Roman" w:hAnsi="Times New Roman" w:eastAsia="方正仿宋_GBK" w:cs="方正仿宋_GBK"/>
                <w:b w:val="0"/>
                <w:bCs w:val="0"/>
                <w:color w:val="000000" w:themeColor="text1"/>
                <w:kern w:val="0"/>
                <w:szCs w:val="21"/>
                <w:lang w:bidi="ar"/>
                <w14:textFill>
                  <w14:solidFill>
                    <w14:schemeClr w14:val="tx1"/>
                  </w14:solidFill>
                </w14:textFill>
              </w:rPr>
              <w:t>系统性红斑狼疮诊断标准</w:t>
            </w:r>
            <w:r>
              <w:rPr>
                <w:rFonts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1.全身状况：发热&gt;38.3℃得2分；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2.血液系统：白细胞减少症&lt;4000/mL得3分，血小板减少症&lt;100000/mL得4分，溶血性贫血得4分；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3.神经系统：谵妄得2分，精神异常得3分，癫痫得5分；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4.皮肤黏膜：非癫痫性脱发得2分，口腔溃疡得2分，亚急性皮肤狼疮得4分，急性皮肤狼疮得6分；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5.浆膜腔：胸腔积液或心包积液得5分，急性心包炎得6分；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6.肌肉骨骼：关节受累得6分；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7.肾脏：蛋白尿&gt;0.5 g/24 h得4分，肾活检:Il或V型LN得8分，肾活检:I或IV型LN得10分；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8.抗磷脂抗体：中高滴度的抗心磷脂抗体或抗 B2GP1抗体阳性或狼疮抗凝物阳性得2分；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9.补体：低C3或低C4得3分，低C3和低C4得4分；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10特异抗体：抗dsDNA阳性或抗Smith阳性得6分。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注:ANA大于等于1:80为纳入标准。SLE分类标准要求至少包括1条临床分类标准以及总分&gt;10分可诊断;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所有的标准，不需要同时发生:</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在每个记分项，只计算最高分。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                                    </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b w:val="0"/>
                <w:bCs w:val="0"/>
                <w:color w:val="000000" w:themeColor="text1"/>
                <w:kern w:val="0"/>
                <w:szCs w:val="21"/>
                <w:lang w:bidi="ar"/>
                <w14:textFill>
                  <w14:solidFill>
                    <w14:schemeClr w14:val="tx1"/>
                  </w14:solidFill>
                </w14:textFill>
              </w:rPr>
              <w:t>2012年SLICC系统性红斑狼疮分类标准</w:t>
            </w:r>
            <w:r>
              <w:rPr>
                <w:rFonts w:ascii="Times New Roman" w:hAnsi="Times New Roman" w:eastAsia="方正仿宋_GBK" w:cs="方正仿宋_GBK"/>
                <w:b w:val="0"/>
                <w:bCs w:val="0"/>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分类系统中使用的临床和免疫学标准如下：</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临床标准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 急性皮肤型狼疮（蝶形红斑、大疱性狼疮、中毒性表皮坏死松解症型SLE、狼疮性丘疹样皮疹、光过敏，或亚急性皮肤狼疮）</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 慢性皮肤型狼疮（经典型盘状红斑、增殖性疣状狼疮、狼疮脂膜炎、黏膜狼疮、肿胀性红斑狼疮、冻疮样狼疮、盘状狼疮/扁平苔癣重叠）</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 口腔溃疡：上颚、颊、舌或鼻溃疡（除外白塞病、感染、炎症性肠病、反应性关节炎和酸性食物等）</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 非瘢痕性脱发：弥漫性稀疏变细变脆（除外斑秃、药物性、缺铁、脂溢性等）</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 滑膜炎：累及2个或更多关节；肿胀/积液或压痛且伴有至少30分钟晨僵</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p>
          <w:p>
            <w:pPr>
              <w:widowControl/>
              <w:numPr>
                <w:ilvl w:val="0"/>
                <w:numId w:val="0"/>
              </w:numPr>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 w:val="21"/>
                <w:szCs w:val="21"/>
                <w:lang w:val="en-US" w:eastAsia="zh-CN" w:bidi="ar"/>
                <w14:textFill>
                  <w14:solidFill>
                    <w14:schemeClr w14:val="tx1"/>
                  </w14:solidFill>
                </w14:textFill>
              </w:rPr>
              <w:t>6.</w:t>
            </w:r>
            <w:r>
              <w:rPr>
                <w:rFonts w:ascii="Times New Roman" w:hAnsi="Times New Roman" w:eastAsia="方正仿宋_GBK" w:cs="方正仿宋_GBK"/>
                <w:color w:val="000000" w:themeColor="text1"/>
                <w:kern w:val="0"/>
                <w:szCs w:val="21"/>
                <w:lang w:bidi="ar"/>
                <w14:textFill>
                  <w14:solidFill>
                    <w14:schemeClr w14:val="tx1"/>
                  </w14:solidFill>
                </w14:textFill>
              </w:rPr>
              <w:t>浆膜炎：持续1天以上典型胸膜炎或胸腔积液或胸膜摩擦音；持续1天以上典型心包炎疼痛或心包积液或心包摩擦音或心电图证实的心包炎，除外其他</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7. 肾脏病变：24h尿蛋白≥0.5g或红细胞管型</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8. 神经病变：癫痫、精神障碍、多发性单神经炎（除外原发性血管炎），或脊髓炎、外周及颅神经病变（除外原发性血管炎、感染、糖尿病），或急性精神混乱状态（除外中毒、代谢、尿毒症、药物）</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9. 溶血性贫血</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10. 白细胞减少（&lt; 4000/mm</w:t>
            </w:r>
            <w:r>
              <w:rPr>
                <w:rStyle w:val="13"/>
                <w:rFonts w:ascii="Times New Roman" w:hAnsi="Times New Roman"/>
                <w:color w:val="000000" w:themeColor="text1"/>
                <w:sz w:val="21"/>
                <w:szCs w:val="21"/>
                <w:lang w:bidi="ar"/>
                <w14:textFill>
                  <w14:solidFill>
                    <w14:schemeClr w14:val="tx1"/>
                  </w14:solidFill>
                </w14:textFill>
              </w:rPr>
              <w:t>³</w:t>
            </w:r>
            <w:r>
              <w:rPr>
                <w:rFonts w:ascii="Times New Roman" w:hAnsi="Times New Roman" w:eastAsia="方正仿宋_GBK" w:cs="方正仿宋_GBK"/>
                <w:color w:val="000000" w:themeColor="text1"/>
                <w:kern w:val="0"/>
                <w:szCs w:val="21"/>
                <w:lang w:bidi="ar"/>
                <w14:textFill>
                  <w14:solidFill>
                    <w14:schemeClr w14:val="tx1"/>
                  </w14:solidFill>
                </w14:textFill>
              </w:rPr>
              <w:t>）或淋巴细胞减少（&lt; 1000/mm</w:t>
            </w:r>
            <w:r>
              <w:rPr>
                <w:rStyle w:val="13"/>
                <w:rFonts w:ascii="Times New Roman" w:hAnsi="Times New Roman"/>
                <w:color w:val="000000" w:themeColor="text1"/>
                <w:sz w:val="21"/>
                <w:szCs w:val="21"/>
                <w:lang w:bidi="ar"/>
                <w14:textFill>
                  <w14:solidFill>
                    <w14:schemeClr w14:val="tx1"/>
                  </w14:solidFill>
                </w14:textFill>
              </w:rPr>
              <w:t>³</w:t>
            </w:r>
            <w:r>
              <w:rPr>
                <w:rFonts w:ascii="Times New Roman" w:hAnsi="Times New Roman" w:eastAsia="方正仿宋_GBK" w:cs="方正仿宋_GBK"/>
                <w:color w:val="000000" w:themeColor="text1"/>
                <w:kern w:val="0"/>
                <w:szCs w:val="21"/>
                <w:lang w:bidi="ar"/>
                <w14:textFill>
                  <w14:solidFill>
                    <w14:schemeClr w14:val="tx1"/>
                  </w14:solidFill>
                </w14:textFill>
              </w:rPr>
              <w:t>），除外其他</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11. 血小板减少（&lt;100,000/mm</w:t>
            </w:r>
            <w:r>
              <w:rPr>
                <w:rStyle w:val="13"/>
                <w:rFonts w:ascii="Times New Roman" w:hAnsi="Times New Roman"/>
                <w:color w:val="000000" w:themeColor="text1"/>
                <w:sz w:val="21"/>
                <w:szCs w:val="21"/>
                <w:lang w:bidi="ar"/>
                <w14:textFill>
                  <w14:solidFill>
                    <w14:schemeClr w14:val="tx1"/>
                  </w14:solidFill>
                </w14:textFill>
              </w:rPr>
              <w:t>³</w:t>
            </w:r>
            <w:r>
              <w:rPr>
                <w:rFonts w:ascii="Times New Roman" w:hAnsi="Times New Roman" w:eastAsia="方正仿宋_GBK" w:cs="方正仿宋_GBK"/>
                <w:color w:val="000000" w:themeColor="text1"/>
                <w:kern w:val="0"/>
                <w:szCs w:val="21"/>
                <w:lang w:bidi="ar"/>
                <w14:textFill>
                  <w14:solidFill>
                    <w14:schemeClr w14:val="tx1"/>
                  </w14:solidFill>
                </w14:textFill>
              </w:rPr>
              <w:t>），除外其他</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免疫学标准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 ANA阳性</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 抗dsDNA阳性</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 抗Sm阳性</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 抗磷脂抗体阳性（抗心磷脂抗体、狼疮抗凝物、抗β2-GP1、快速血浆反应素试验假阳性）</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 补体降低（C3或C4或CH50降低）</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 直接Coombs试验阳性（在不存在溶血性贫血的情况下）</w:t>
            </w:r>
            <w:r>
              <w:rPr>
                <w:rFonts w:hint="eastAsia" w:ascii="Times New Roman" w:hAnsi="Times New Roman" w:eastAsia="方正仿宋_GBK" w:cs="方正仿宋_GBK"/>
                <w:color w:val="000000" w:themeColor="text1"/>
                <w:kern w:val="0"/>
                <w:szCs w:val="21"/>
                <w:lang w:eastAsia="zh-CN" w:bidi="ar"/>
                <w14:textFill>
                  <w14:solidFill>
                    <w14:schemeClr w14:val="tx1"/>
                  </w14:solidFill>
                </w14:textFill>
              </w:rPr>
              <w:t>。</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满足分类标准中的4条，其中包括至少1条临床标准和1条免疫学标准，或有活检证实的狼疮肾炎，伴有ANA阳性或抗dsDNA阳性，可诊断系统性红斑狼疮。</w:t>
            </w:r>
          </w:p>
        </w:tc>
      </w:tr>
      <w:tr>
        <w:tblPrEx>
          <w:tblCellMar>
            <w:top w:w="0" w:type="dxa"/>
            <w:left w:w="108" w:type="dxa"/>
            <w:bottom w:w="0" w:type="dxa"/>
            <w:right w:w="108" w:type="dxa"/>
          </w:tblCellMar>
        </w:tblPrEx>
        <w:trPr>
          <w:trHeight w:val="90" w:hRule="atLeast"/>
        </w:trPr>
        <w:tc>
          <w:tcPr>
            <w:tcW w:w="7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13"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6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病因治疗</w:t>
            </w:r>
          </w:p>
        </w:tc>
        <w:tc>
          <w:tcPr>
            <w:tcW w:w="2190" w:type="dxa"/>
            <w:tcBorders>
              <w:top w:val="nil"/>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c>
          <w:tcPr>
            <w:tcW w:w="1513" w:type="dxa"/>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632" w:type="dxa"/>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非甾体类抗炎和抗风湿药</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XM01A</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非甾体类抗炎和抗风湿药</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钙离子拮抗剂</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钙通道阻滞剂</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前列环素及其类似物、抗凝治疗药物</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ACEI/ARB</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华法林</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羟氯喹</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XP01B</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抗疟药</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并发症治疗</w:t>
            </w: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升白细胞、血小板类药物</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内皮素-l受体拮抗剂及5型磷酸二酯酶抑制剂（限肺动脉高压）</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XC02K</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其他抗高血压药</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质子泵抑制剂（限胃粘膜损伤）</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XA02BC</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质子泵抑制剂</w:t>
            </w:r>
          </w:p>
        </w:tc>
      </w:tr>
      <w:tr>
        <w:tblPrEx>
          <w:tblCellMar>
            <w:top w:w="0" w:type="dxa"/>
            <w:left w:w="108" w:type="dxa"/>
            <w:bottom w:w="0" w:type="dxa"/>
            <w:right w:w="108" w:type="dxa"/>
          </w:tblCellMar>
        </w:tblPrEx>
        <w:trPr>
          <w:trHeight w:val="90" w:hRule="atLeast"/>
        </w:trPr>
        <w:tc>
          <w:tcPr>
            <w:tcW w:w="713"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78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钙代谢调节药物（限骨质疏松或维生素D缺乏）</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0"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网织红细胞计数(Ret)</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250102024</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尿沉渣定量</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尿蛋白/肌酐</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250307006</w:t>
            </w:r>
          </w:p>
        </w:tc>
        <w:tc>
          <w:tcPr>
            <w:tcW w:w="3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血沉</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250101008</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红细胞沉降率测定(ESR)</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抗磷脂综合征IgG抗体</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CGFN1000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抗β2-糖蛋白1抗体测定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250401023.10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250401023.20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免疫球蛋白定量测定(IgG)</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250401023.30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免疫球蛋白定量测定(IgM)</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250401023.40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免疫球蛋白定量测定(IgD)</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250401023.50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免疫球蛋白定量测定(IgE)</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250402002</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抗核抗体测定(ANA)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抗核提取物抗体测定(抗ENA抗体)</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250402003.10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抗核提取物抗体测定(抗SSA)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250402003.20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抗核提取物抗体测定(抗SSB)</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250402003.30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抗核提取物抗体测定(抗JO－1)</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250402003.40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抗核提取物抗体测定(抗Sm)</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250402003.50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抗核提取物抗体测定(抗nRNP)</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250402003.60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抗核提取物抗体测定(抗ScL-70)</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250402003.70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抗核提取物抗体测定(抗着丝点)</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C3+C4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250401020</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单项补体测定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抗dsDNA</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250402006</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抗双链DNA测定(抗dsDNA)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24小时尿蛋白定量</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250304007</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胸部CT（医保基金支付不超过1次/年）</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超声心动图</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220600004.01</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心脏彩色多普勒超声(同时做左心功能测定加收)</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220700006</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室壁运动分析</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骨密度测定（医保基金支付不超过1次/年）</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3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4.</w:t>
      </w:r>
      <w:r>
        <w:rPr>
          <w:rFonts w:ascii="Times New Roman" w:hAnsi="Times New Roman" w:eastAsia="黑体"/>
          <w:color w:val="000000" w:themeColor="text1"/>
          <w:sz w:val="30"/>
          <w:szCs w:val="30"/>
          <w14:textFill>
            <w14:solidFill>
              <w14:schemeClr w14:val="tx1"/>
            </w14:solidFill>
          </w14:textFill>
        </w:rPr>
        <w:t>系统性硬化症</w:t>
      </w:r>
    </w:p>
    <w:tbl>
      <w:tblPr>
        <w:tblStyle w:val="4"/>
        <w:tblW w:w="8691" w:type="dxa"/>
        <w:tblInd w:w="93" w:type="dxa"/>
        <w:tblLayout w:type="fixed"/>
        <w:tblCellMar>
          <w:top w:w="0" w:type="dxa"/>
          <w:left w:w="108" w:type="dxa"/>
          <w:bottom w:w="0" w:type="dxa"/>
          <w:right w:w="108" w:type="dxa"/>
        </w:tblCellMar>
      </w:tblPr>
      <w:tblGrid>
        <w:gridCol w:w="726"/>
        <w:gridCol w:w="1090"/>
        <w:gridCol w:w="1490"/>
        <w:gridCol w:w="1650"/>
        <w:gridCol w:w="3735"/>
      </w:tblGrid>
      <w:tr>
        <w:tblPrEx>
          <w:tblCellMar>
            <w:top w:w="0" w:type="dxa"/>
            <w:left w:w="108" w:type="dxa"/>
            <w:bottom w:w="0" w:type="dxa"/>
            <w:right w:w="108" w:type="dxa"/>
          </w:tblCellMar>
        </w:tblPrEx>
        <w:trPr>
          <w:trHeight w:val="91" w:hRule="atLeast"/>
        </w:trPr>
        <w:tc>
          <w:tcPr>
            <w:tcW w:w="72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M34.000x001</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进行性系统性硬化症</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M34.800x001+J99.1*</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系统性硬化症性肺病变</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M34.800x002+G73.7*</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系统性硬化症性肌病</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M34.800x003+J99.1*</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系统性硬化症性肺间质纤维化</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M34.800x004+N08.5*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系统性硬化症肾脏危象</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M34.800x005+G53.8*</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系统性硬化症累及脑神经</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M34.800x006+K23.8*</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系统性硬化症累及食管</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M34.800x007+N08.5*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系统性硬化症肾损害</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M34.800x008+G73.7*</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系统性硬化症合并肌病</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M34.800x009+I52.8*</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系统性硬化症心脏损害</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M34.900x001</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系统性硬化症</w:t>
            </w:r>
          </w:p>
        </w:tc>
      </w:tr>
      <w:tr>
        <w:tblPrEx>
          <w:tblCellMar>
            <w:top w:w="0" w:type="dxa"/>
            <w:left w:w="108" w:type="dxa"/>
            <w:bottom w:w="0" w:type="dxa"/>
            <w:right w:w="108" w:type="dxa"/>
          </w:tblCellMar>
        </w:tblPrEx>
        <w:trPr>
          <w:trHeight w:val="91" w:hRule="atLeast"/>
        </w:trPr>
        <w:tc>
          <w:tcPr>
            <w:tcW w:w="7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6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spacing w:line="34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2013年ACR/EULAR SSc分类标准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1.双手手指皮肤增厚并延伸至掌指关节(足以诊断的标准)（9分）；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2.手指皮肤硬化(仅计最高分)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（一）手指肿胀（2分），（二）指硬皮病(远指关节延伸至掌指关节，接近指关节)（4分）；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3.指端损伤</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（一）指尖溃疡（2分），（二）指尖凹陷性疤痕（3分）；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4.毛细血管扩张（2分）；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5.甲襞微血管异常（2分）；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6.肺动脉高压和/或间质性肺病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（一）肺动脉高压（2分），（二）间质性肺病（2分）；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7.雷诺现象（3分）；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8.SSc相关自身抗体(抗着丝点抗体抗拓扑异构酶I[亦称抗Scl-70]、抗RNA聚合酶Ⅲ，最高得3分)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（一）抗着丝点抗体（3分），（二）抗拓扑异构酶I，（三）抗RNA聚合酶Ⅲ；</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总分值由每个条目中的最高分值相加得出，得分&gt;9分的患者可分类为系统性硬化症。</w:t>
            </w:r>
          </w:p>
        </w:tc>
      </w:tr>
      <w:tr>
        <w:tblPrEx>
          <w:tblCellMar>
            <w:top w:w="0" w:type="dxa"/>
            <w:left w:w="108" w:type="dxa"/>
            <w:bottom w:w="0" w:type="dxa"/>
            <w:right w:w="108" w:type="dxa"/>
          </w:tblCellMar>
        </w:tblPrEx>
        <w:trPr>
          <w:trHeight w:val="91" w:hRule="atLeast"/>
        </w:trPr>
        <w:tc>
          <w:tcPr>
            <w:tcW w:w="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抗炎及免疫调节治疗</w:t>
            </w:r>
          </w:p>
        </w:tc>
        <w:tc>
          <w:tcPr>
            <w:tcW w:w="1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白介素抑制剂</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XL04AC</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白介素抑制剂</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血管病变的治疗</w:t>
            </w:r>
          </w:p>
        </w:tc>
        <w:tc>
          <w:tcPr>
            <w:tcW w:w="1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钙通道阻滞剂</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XC08C</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主要作用于血管的选择性钙通道阻滞剂</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ACEI/ARB</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其他抗凝药</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内皮素-l受体拮抗剂及5型磷酸二酯酶抑制剂（限肺动脉高压）</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XC02K</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其他抗高血压药</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抗纤维化治疗药物</w:t>
            </w:r>
          </w:p>
        </w:tc>
        <w:tc>
          <w:tcPr>
            <w:tcW w:w="1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抗纤维化治疗药物（限肺间质纤维化）</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XL04AX</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其他免疫抑制剂</w:t>
            </w:r>
          </w:p>
        </w:tc>
      </w:tr>
      <w:tr>
        <w:tblPrEx>
          <w:tblCellMar>
            <w:top w:w="0" w:type="dxa"/>
            <w:left w:w="108" w:type="dxa"/>
            <w:bottom w:w="0" w:type="dxa"/>
            <w:right w:w="108" w:type="dxa"/>
          </w:tblCellMar>
        </w:tblPrEx>
        <w:trPr>
          <w:trHeight w:val="91" w:hRule="atLeast"/>
        </w:trPr>
        <w:tc>
          <w:tcPr>
            <w:tcW w:w="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网织红细胞计数(Ret)</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血沉</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250101008</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红细胞沉降率测定(ESR)</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BNP（限肺动脉高压）</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250306012</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B型钠尿肽(BNP)</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胸部CT（医保基金支付不超过1次/年）</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肺功能（限肺间质纤维化，医保基金支付不超过1次/年）</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310601001</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肺通气功能检查</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310601002</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肺弥散功能检查</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310601005</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残气容积测定</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310601006</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强迫振荡肺功能检查</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310601008</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流速容量曲线(V—V曲线)</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心脏超声（超声心动图）</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220600004.01</w:t>
            </w:r>
          </w:p>
        </w:tc>
        <w:tc>
          <w:tcPr>
            <w:tcW w:w="3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心脏彩色多普勒超声(同时做左心功能测定加收)</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双手正位（含腕）（X线、DR、CR）（医保基金支付不超过1次/年）</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210101001.40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普通透视(四肢)</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8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5.</w:t>
      </w:r>
      <w:r>
        <w:rPr>
          <w:rFonts w:ascii="Times New Roman" w:hAnsi="Times New Roman" w:eastAsia="黑体"/>
          <w:color w:val="000000" w:themeColor="text1"/>
          <w:sz w:val="30"/>
          <w:szCs w:val="30"/>
          <w14:textFill>
            <w14:solidFill>
              <w14:schemeClr w14:val="tx1"/>
            </w14:solidFill>
          </w14:textFill>
        </w:rPr>
        <w:t>原发性干燥综合征</w:t>
      </w:r>
    </w:p>
    <w:tbl>
      <w:tblPr>
        <w:tblStyle w:val="4"/>
        <w:tblW w:w="8691" w:type="dxa"/>
        <w:tblInd w:w="93" w:type="dxa"/>
        <w:tblLayout w:type="fixed"/>
        <w:tblCellMar>
          <w:top w:w="0" w:type="dxa"/>
          <w:left w:w="108" w:type="dxa"/>
          <w:bottom w:w="0" w:type="dxa"/>
          <w:right w:w="108" w:type="dxa"/>
        </w:tblCellMar>
      </w:tblPr>
      <w:tblGrid>
        <w:gridCol w:w="713"/>
        <w:gridCol w:w="677"/>
        <w:gridCol w:w="1963"/>
        <w:gridCol w:w="1618"/>
        <w:gridCol w:w="3720"/>
      </w:tblGrid>
      <w:tr>
        <w:tblPrEx>
          <w:tblCellMar>
            <w:top w:w="0" w:type="dxa"/>
            <w:left w:w="108" w:type="dxa"/>
            <w:bottom w:w="0" w:type="dxa"/>
            <w:right w:w="108" w:type="dxa"/>
          </w:tblCellMar>
        </w:tblPrEx>
        <w:trPr>
          <w:trHeight w:val="335"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原发性干燥综合征</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干燥综合征[舍格伦]</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M35.000x003</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干燥综合征伴肺病变</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M35.002+J99.1*</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干燥综合征伴肺间质纤维化</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M35.003+K77.8*</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干燥综合征性肝损害</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M35.004+G73.7*</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干燥综合征性肌病</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M35.005+H19.3*</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干燥综合征性角膜结膜炎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M35.006+N16.4*</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干燥综合征性肾小管间质肾炎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M35.007+N16.4*</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干燥综合征性肾盂肾炎</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M35.008+G94.8*</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干燥综合征性中枢神经损害</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M35.009+G63.5*</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干燥综合征性周围神经病</w:t>
            </w:r>
          </w:p>
        </w:tc>
      </w:tr>
      <w:tr>
        <w:tblPrEx>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一、纳入标准：至少有眼干或口干症状之一者，即下述至少一项为阳性：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 每日感到不能忍受的眼干，持续 3个月以上；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 眼中反复砂砾感；</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 每日需用人工泪液3次或3次以上；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 每日感到口干，持续 3个月以上；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 吞咽干性食物需频繁饮水帮助。</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或在EULAR的SS 疾病活动度指数（ESSDAI）问卷中出现至少一个系统阳性的可疑SS者。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二、排除标准：患者出现下列疾病，因可能有重叠的临床表现或干扰诊断试验结果，应予以排除：</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 头颈部放疗史；</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 活动性丙型肝炎病毒感染；</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 艾滋病；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 结节病；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 淀粉样变性；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 移植物抗宿主病；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7. IgG4相关性疾病。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三、适用于任何满足上述纳入标准并除外排除标准者，且下述5项评分总和≥4者诊断为pSS：</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 唇腺灶性淋巴细胞浸润，且灶性指数≥1个灶/4mm</w:t>
            </w:r>
            <w:r>
              <w:rPr>
                <w:rFonts w:ascii="Times New Roman" w:hAnsi="Times New Roman" w:eastAsia="方正书宋_GBK" w:cs="方正书宋_GBK"/>
                <w:color w:val="000000" w:themeColor="text1"/>
                <w:kern w:val="0"/>
                <w:szCs w:val="21"/>
                <w:lang w:bidi="ar"/>
                <w14:textFill>
                  <w14:solidFill>
                    <w14:schemeClr w14:val="tx1"/>
                  </w14:solidFill>
                </w14:textFill>
              </w:rPr>
              <w:t>²</w:t>
            </w:r>
            <w:r>
              <w:rPr>
                <w:rFonts w:ascii="Times New Roman" w:hAnsi="Times New Roman" w:eastAsia="方正仿宋_GBK" w:cs="方正仿宋_GBK"/>
                <w:color w:val="000000" w:themeColor="text1"/>
                <w:kern w:val="0"/>
                <w:szCs w:val="21"/>
                <w:lang w:bidi="ar"/>
                <w14:textFill>
                  <w14:solidFill>
                    <w14:schemeClr w14:val="tx1"/>
                  </w14:solidFill>
                </w14:textFill>
              </w:rPr>
              <w:t>，为3分；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 血清抗SSA抗体阳性，为3分；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 至少单眼角膜染色计分（OSS）≥5或Van Bijsterveld评分≥4分，为1分；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 至少单眼泪液分泌试验（Schirmer试验） ≤5mm/5 min，为1分；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 未刺激的全唾液流率≤0.1ml/min（Navazesh 和Kumar测定法），为1分。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常规使用胆碱能药物者应充分停药后再行上述3、4、5项评估口眼干燥的检查。</w:t>
            </w:r>
          </w:p>
        </w:tc>
      </w:tr>
      <w:tr>
        <w:tblPrEx>
          <w:tblCellMar>
            <w:top w:w="0" w:type="dxa"/>
            <w:left w:w="108" w:type="dxa"/>
            <w:bottom w:w="0" w:type="dxa"/>
            <w:right w:w="108" w:type="dxa"/>
          </w:tblCellMar>
        </w:tblPrEx>
        <w:trPr>
          <w:trHeight w:val="90"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活动性内脏器官受累的患者</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非甾体类抗炎和抗风湿药</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XM01A</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非甾体类抗炎和抗风湿药</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钙离子拮抗剂</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XC08C</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主要作用于血管的选择性钙通道阻滞剂</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前列环素及其类似物、抗凝治疗药物</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ACEI/ARB</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XC09</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作用于肾素-血管紧张素系统的药物</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XB01AA</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维生素K拮抗剂</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其他抗凝药</w:t>
            </w:r>
          </w:p>
        </w:tc>
        <w:tc>
          <w:tcPr>
            <w:tcW w:w="16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XB01AE</w:t>
            </w:r>
          </w:p>
        </w:tc>
        <w:tc>
          <w:tcPr>
            <w:tcW w:w="3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直接凝血酶抑制剂</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XB01AF</w:t>
            </w:r>
          </w:p>
        </w:tc>
        <w:tc>
          <w:tcPr>
            <w:tcW w:w="3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直接Xa因子抑制剂</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并发症治疗</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降血脂药</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内皮素-l受体拮抗剂及5型磷酸二酯酶抑制剂（限肺动脉高压）</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XC02K</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其他抗高血压药</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干眼症</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XS01K</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手术辅助用药</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XS01X</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其他眼科用药</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胆治疗药</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XA05A</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胆治疗药</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升白细胞、血小板类药物</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0" w:hRule="atLeast"/>
        </w:trPr>
        <w:tc>
          <w:tcPr>
            <w:tcW w:w="7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250102024</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尿沉渣定量</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250101005</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网织红细胞计数(Ret)</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250401023.10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250401023.20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免疫球蛋白定量测定(IgG)</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250401023.30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免疫球蛋白定量测定(IgM)</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250401023.40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免疫球蛋白定量测定(IgD)</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250401023.50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免疫球蛋白定量测定(IgE)</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250402002</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抗核抗体测定(ANA)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250402003.10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抗核提取物抗体测定(抗SSA)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250402003.20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抗核提取物抗体测定(抗SSB)</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250402007</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抗线粒体抗体测定(AMA)</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250402003.50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抗核提取物抗体测定(抗nRNP)</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250402003.70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抗核提取物抗体测定(抗着丝点)</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补体</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250401020</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单项补体测定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血沉</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250101008</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红细胞沉降率测定(ESR)</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250304007</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干燥性角、结膜炎检查</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310300056</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眼底检查</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唾液流率</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FHL02401</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唾液流量测定</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唾液腺显像</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230200028</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唾液腺动态显象</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胸部CT（医保基金支付不超过1次/年）</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0" w:hRule="atLeast"/>
        </w:trPr>
        <w:tc>
          <w:tcPr>
            <w:tcW w:w="7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6.</w:t>
      </w:r>
      <w:r>
        <w:rPr>
          <w:rFonts w:ascii="Times New Roman" w:hAnsi="Times New Roman" w:eastAsia="黑体"/>
          <w:color w:val="000000" w:themeColor="text1"/>
          <w:sz w:val="30"/>
          <w:szCs w:val="30"/>
          <w14:textFill>
            <w14:solidFill>
              <w14:schemeClr w14:val="tx1"/>
            </w14:solidFill>
          </w14:textFill>
        </w:rPr>
        <w:t>重症肌无力</w:t>
      </w:r>
    </w:p>
    <w:tbl>
      <w:tblPr>
        <w:tblStyle w:val="4"/>
        <w:tblW w:w="8813" w:type="dxa"/>
        <w:tblInd w:w="93" w:type="dxa"/>
        <w:tblLayout w:type="fixed"/>
        <w:tblCellMar>
          <w:top w:w="0" w:type="dxa"/>
          <w:left w:w="108" w:type="dxa"/>
          <w:bottom w:w="0" w:type="dxa"/>
          <w:right w:w="108" w:type="dxa"/>
        </w:tblCellMar>
      </w:tblPr>
      <w:tblGrid>
        <w:gridCol w:w="711"/>
        <w:gridCol w:w="1307"/>
        <w:gridCol w:w="1920"/>
        <w:gridCol w:w="1874"/>
        <w:gridCol w:w="3001"/>
      </w:tblGrid>
      <w:tr>
        <w:tblPrEx>
          <w:tblCellMar>
            <w:top w:w="0" w:type="dxa"/>
            <w:left w:w="108" w:type="dxa"/>
            <w:bottom w:w="0" w:type="dxa"/>
            <w:right w:w="108" w:type="dxa"/>
          </w:tblCellMar>
        </w:tblPrEx>
        <w:trPr>
          <w:trHeight w:val="470"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G70.000</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G70.001</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重症肌无力，肌萎缩型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G70.002</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重症肌无力，眼肌型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G70.003</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重症肌无力，轻度全身型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G70.004</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重症肌无力，中度全身型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G70.005</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重症肌无力，急性重症型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G70.006</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重症肌无力，迟发重症型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G70.008</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儿童型重症肌无力</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G70.200x004</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少年型重症肌无力</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G70.200x005</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儿童型重症肌无力,眼肌型</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G70.201</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先天性重症肌无力</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O99.310</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妊娠合并重症肌无力</w:t>
            </w:r>
          </w:p>
        </w:tc>
      </w:tr>
      <w:tr>
        <w:tblPrEx>
          <w:tblCellMar>
            <w:top w:w="0" w:type="dxa"/>
            <w:left w:w="108" w:type="dxa"/>
            <w:bottom w:w="0" w:type="dxa"/>
            <w:right w:w="108" w:type="dxa"/>
          </w:tblCellMar>
        </w:tblPrEx>
        <w:trPr>
          <w:trHeight w:val="9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在具有下列第一条典型临床特征的基础上，满足第二条或第三条或第四条，临床上可诊断为重症肌无力。</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一、临床表现：某些特定的横纹肌群肌无力呈斑片状分布，表现出波动性和易疲劳性；肌无力症状晨轻暮重，持续活动后加重，休息后缓解、好转。通常以眼外肌受累最常见。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二、药理学表现：新斯的明试验阳性。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三、电生理检测：RNS检查低频刺激波幅递减10％以上；SFEMG测定的“颤抖”增宽、伴或不伴有阻滞。</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四、血清学检查：多数全身型MG患者血中可检测到AChR抗体，或在极少部分MG患者中可检测到抗MuSK抗体、抗LRP4抗体。</w:t>
            </w:r>
          </w:p>
        </w:tc>
      </w:tr>
      <w:tr>
        <w:tblPrEx>
          <w:tblCellMar>
            <w:top w:w="0" w:type="dxa"/>
            <w:left w:w="108" w:type="dxa"/>
            <w:bottom w:w="0" w:type="dxa"/>
            <w:right w:w="108" w:type="dxa"/>
          </w:tblCellMar>
        </w:tblPrEx>
        <w:trPr>
          <w:trHeight w:val="91"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分类代码</w:t>
            </w:r>
          </w:p>
        </w:tc>
        <w:tc>
          <w:tcPr>
            <w:tcW w:w="3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胆碱酯酶抑制剂</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XN07A</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拟副交感神经药</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糖皮质激素</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使用糖皮质激素期间对抗糖皮质激素副作用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护胃药物</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XA02BC</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质子泵抑制剂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补钙药物</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XM05</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治疗骨病的药物</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选择性免疫抑制剂</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XL04AA</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选择性免疫抑制剂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钙神经素抑制剂</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XL04AD</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钙调磷酸酶抑制剂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其他免疫抑制剂</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XL04AX</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其他免疫抑制剂</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氮芥类似物</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XL01AA</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氮芥类似物</w:t>
            </w:r>
          </w:p>
        </w:tc>
      </w:tr>
      <w:tr>
        <w:tblPrEx>
          <w:tblCellMar>
            <w:top w:w="0" w:type="dxa"/>
            <w:left w:w="108" w:type="dxa"/>
            <w:bottom w:w="0" w:type="dxa"/>
            <w:right w:w="108" w:type="dxa"/>
          </w:tblCellMar>
        </w:tblPrEx>
        <w:trPr>
          <w:trHeight w:val="405"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服务项目编码</w:t>
            </w:r>
          </w:p>
        </w:tc>
        <w:tc>
          <w:tcPr>
            <w:tcW w:w="3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250305014</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血清胆碱脂酶测定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250304006</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镁测定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7.</w:t>
      </w:r>
      <w:r>
        <w:rPr>
          <w:rFonts w:ascii="Times New Roman" w:hAnsi="Times New Roman" w:eastAsia="黑体"/>
          <w:color w:val="000000" w:themeColor="text1"/>
          <w:sz w:val="30"/>
          <w:szCs w:val="30"/>
          <w14:textFill>
            <w14:solidFill>
              <w14:schemeClr w14:val="tx1"/>
            </w14:solidFill>
          </w14:textFill>
        </w:rPr>
        <w:t>慢性肾脏病</w:t>
      </w:r>
    </w:p>
    <w:tbl>
      <w:tblPr>
        <w:tblStyle w:val="4"/>
        <w:tblW w:w="8691" w:type="dxa"/>
        <w:tblInd w:w="93" w:type="dxa"/>
        <w:tblLayout w:type="fixed"/>
        <w:tblCellMar>
          <w:top w:w="0" w:type="dxa"/>
          <w:left w:w="108" w:type="dxa"/>
          <w:bottom w:w="0" w:type="dxa"/>
          <w:right w:w="108" w:type="dxa"/>
        </w:tblCellMar>
      </w:tblPr>
      <w:tblGrid>
        <w:gridCol w:w="816"/>
        <w:gridCol w:w="2670"/>
        <w:gridCol w:w="1620"/>
        <w:gridCol w:w="3585"/>
      </w:tblGrid>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N18.300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慢性肾脏病3期</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N18.400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慢性肾脏病4期</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慢性肾脏病5期</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N18.500x001+D63.8*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慢性肾脏病5期相关性贫血</w:t>
            </w:r>
          </w:p>
        </w:tc>
      </w:tr>
      <w:tr>
        <w:tblPrEx>
          <w:tblCellMar>
            <w:top w:w="0" w:type="dxa"/>
            <w:left w:w="108" w:type="dxa"/>
            <w:bottom w:w="0" w:type="dxa"/>
            <w:right w:w="108" w:type="dxa"/>
          </w:tblCellMar>
        </w:tblPrEx>
        <w:trPr>
          <w:trHeight w:val="91"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慢性肾脏病3期及以上且GFR下降（＜60ml/min）</w:t>
            </w:r>
          </w:p>
        </w:tc>
      </w:tr>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糖皮质激素</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XL04AD</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钙调磷酸酶抑制剂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XL01AA</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氮芥类似物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钠-葡萄糖共转运蛋白2抑制剂（SGLT2i 类药物）</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XA10BK</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钠葡萄糖协同转运蛋白2(SGLT-2)抑制剂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醛固酮受体抑制剂（MRA类药物，限糖尿病肾病）</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XC03D</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保钾利尿药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纠正贫血类药物</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抗贫血药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降磷药物；拟钙剂、活性维生素D及类似物；纠正水、电解质酸碱平衡紊乱（代谢性酸中毒、高钾血症）药物</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XV03AE</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高血钾和高磷血症治疗药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钙稳态药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XA02A</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抗酸药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XB05X</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静脉注射液添加剂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利尿剂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营养治疗：酮酸类制剂</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XV02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其他营养剂</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降尿酸药物</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抗痛风药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口服吸附毒素和导泄排毒疗法药物（限有氮质血症）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XG04B</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泌尿系统药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降脂药物</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抗血小板药物</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XC11AX</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其他调节血脂药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抗凝药物</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6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20"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62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电解质</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钾测定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钠测定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氯测定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无机磷测定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血清碳酸氢盐(HCO3)测定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250102024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尿沉渣定量</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尿白蛋白/肌酐比值</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250307006</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尿微量白蛋白测定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auto"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24小时尿蛋白定量</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250102006</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尿蛋白定量</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ANCA</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抗中性粒细胞胞浆抗体测定（ANCA）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250402005.10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抗中性粒细胞胞浆抗体测定（cANCA）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250402005.20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抗中性粒细胞胞浆抗体测定（pANCA）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250402005.30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抗中性粒细胞胞浆抗体测定（PR3-ANCA）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250402005.40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抗中性粒细胞胞浆抗体测定（MPO-ANCA）</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抗GBM抗体</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250402019</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抗肾小球基底膜抗体测定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抗磷脂酶A2受体</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250307031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抗磷脂酶A2受体（PLA2R）抗体检测</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免疫固定电泳</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250301005</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免疫固定电泳</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铁蛋白测定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甲状旁腺激素（iPTH）</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250310009</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甲状旁腺激素测定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骨型碱性磷酸酶</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250305013</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血清骨型碱性磷酸酶质量测定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铁生化</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血清铁蛋白测定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250301007</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血清转铁蛋白测定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250304008</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血清总铁结合力测定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250304007</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铁测定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心脏超声（限心力衰竭）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220600004.01</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心脏彩色多普勒超声（同时做左心功能测定加收</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泌尿系超声</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220201002.40</w:t>
            </w:r>
          </w:p>
        </w:tc>
        <w:tc>
          <w:tcPr>
            <w:tcW w:w="3585" w:type="dxa"/>
            <w:tcBorders>
              <w:top w:val="single" w:color="000000" w:sz="4" w:space="0"/>
              <w:left w:val="single" w:color="000000" w:sz="4" w:space="0"/>
              <w:bottom w:val="nil"/>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B超常规检查（泌尿系）</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670" w:type="dxa"/>
            <w:vMerge w:val="continue"/>
            <w:tcBorders>
              <w:top w:val="nil"/>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220301001d</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彩色多普勒超声常规检查(泌尿系)</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jc w:val="lef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2</w:t>
      </w:r>
      <w:r>
        <w:rPr>
          <w:rFonts w:ascii="Times New Roman" w:hAnsi="Times New Roman"/>
          <w:color w:val="000000" w:themeColor="text1"/>
          <w:sz w:val="30"/>
          <w:szCs w:val="30"/>
          <w14:textFill>
            <w14:solidFill>
              <w14:schemeClr w14:val="tx1"/>
            </w14:solidFill>
          </w14:textFill>
        </w:rPr>
        <w:t>8.</w:t>
      </w:r>
      <w:r>
        <w:rPr>
          <w:rFonts w:ascii="Times New Roman" w:hAnsi="Times New Roman" w:eastAsia="黑体"/>
          <w:color w:val="000000" w:themeColor="text1"/>
          <w:sz w:val="30"/>
          <w:szCs w:val="30"/>
          <w14:textFill>
            <w14:solidFill>
              <w14:schemeClr w14:val="tx1"/>
            </w14:solidFill>
          </w14:textFill>
        </w:rPr>
        <w:t>类风湿性关节炎、幼年特发性关节炎</w:t>
      </w:r>
    </w:p>
    <w:tbl>
      <w:tblPr>
        <w:tblStyle w:val="4"/>
        <w:tblW w:w="8903" w:type="dxa"/>
        <w:tblInd w:w="93" w:type="dxa"/>
        <w:tblLayout w:type="fixed"/>
        <w:tblCellMar>
          <w:top w:w="0" w:type="dxa"/>
          <w:left w:w="108" w:type="dxa"/>
          <w:bottom w:w="0" w:type="dxa"/>
          <w:right w:w="108" w:type="dxa"/>
        </w:tblCellMar>
      </w:tblPr>
      <w:tblGrid>
        <w:gridCol w:w="758"/>
        <w:gridCol w:w="1290"/>
        <w:gridCol w:w="2580"/>
        <w:gridCol w:w="1500"/>
        <w:gridCol w:w="2775"/>
      </w:tblGrid>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类风湿性关节炎、幼年特发性关节炎</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M05.101+J99.0*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类风湿性关节炎伴肺泡炎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M05.102+J99.0*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类风湿性关节炎伴肺间质纤维化</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类风湿性关节炎，累及其他器官和系统</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M05.301+G63.6*</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类风湿性关节炎伴多神经病</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M05.302+I43.8*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类风湿性关节炎伴心肌病</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M05.303+G73.7*</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类风湿性关节炎相关性肌病</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M05.304+I52.8*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类风湿性关节炎伴心炎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M05.305+I32.8*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类风湿性关节炎伴心包炎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M05.306+I41.8*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类风湿性关节炎伴心肌炎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M05.307+I39.8*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类风湿性关节炎伴心内膜炎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M05.308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累及全身类风湿性关节炎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M05.800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血清反应阳性的类风湿性关节炎,其他的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M05.900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血清反应阳性的类风湿性关节炎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M05.900x093</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累及内脏的类风湿性关节炎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M06.000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血清反应阴性的类风湿性关节炎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M06.800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类风湿性关节炎，其他特指的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M06.800x051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类风湿性髋关节炎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M06.800x071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类风湿性足关节炎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M06.900x001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类风湿性骨盆和大腿关节炎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类风湿性肩关节关节炎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M06.902</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类风湿性肘关节关节炎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M06.903</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类风湿性腕关节关节炎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M06.904</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类风湿性手骨间关节关节炎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M06.906</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类风湿性膝关节关节炎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M06.907</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类风湿性踝关节关节炎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类风湿性斜颈</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M06.909</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类风湿性多部位关节炎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M08.300x001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多关节型儿童类风湿病</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atLeas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M08.000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atLeas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幼年型类风湿性关节炎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40" w:lineRule="atLeast"/>
              <w:jc w:val="left"/>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40" w:lineRule="atLeast"/>
              <w:jc w:val="left"/>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幼年型类风湿因子阴性关节炎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40" w:lineRule="atLeast"/>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M08.002</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40" w:lineRule="atLeast"/>
              <w:jc w:val="left"/>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幼年型类风湿因子阳性关节炎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M08.100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幼年型关节强硬性脊椎炎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atLeast"/>
              <w:jc w:val="both"/>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M08.800x091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atLeas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幼年型特发性关节炎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M08.100x092</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幼年型脊椎关节炎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M08.200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幼年型关节炎伴有全身性发病</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M08.201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幼年型斯蒂尔病</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M08.300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幼年型多关节炎(血清反应阴性)</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M08.301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慢性幼年型多关节炎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M08.400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少关节性幼年型关节炎</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M08.800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幼年型关节炎，其他的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M08.900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atLeast"/>
              <w:jc w:val="both"/>
              <w:textAlignment w:val="auto"/>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仿宋" w:hAnsi="仿宋" w:eastAsia="仿宋" w:cs="仿宋"/>
                <w:color w:val="000000" w:themeColor="text1"/>
                <w:szCs w:val="32"/>
                <w:lang w:val="en-US" w:eastAsia="zh-CN"/>
                <w14:textFill>
                  <w14:solidFill>
                    <w14:schemeClr w14:val="tx1"/>
                  </w14:solidFill>
                </w14:textFill>
              </w:rPr>
              <w:t>幼年型关节炎</w:t>
            </w:r>
          </w:p>
        </w:tc>
      </w:tr>
      <w:tr>
        <w:tblPrEx>
          <w:tblCellMar>
            <w:top w:w="0" w:type="dxa"/>
            <w:left w:w="108" w:type="dxa"/>
            <w:bottom w:w="0" w:type="dxa"/>
            <w:right w:w="108" w:type="dxa"/>
          </w:tblCellMar>
        </w:tblPrEx>
        <w:trPr>
          <w:trHeight w:val="1405"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145" w:type="dxa"/>
            <w:gridSpan w:val="4"/>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line="320" w:lineRule="exact"/>
              <w:jc w:val="left"/>
              <w:textAlignment w:val="top"/>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类风湿性关节炎诊断标准：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一、必要条件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（一）至少一个关节肿痛，并有滑膜炎的证据（临床、超声或磁共振成像）；</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（二）排除其他疾病引起的关节炎症状和体征。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二、分类评分系统：分为四个板块，在每个板块内，取患者符合条件的最高分值。将四个板块的分值相加即为最终评分。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（一）关节受累情况（0－5分）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1、1个中到大的关节（0分）；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2、2－10个中大关节（1分）；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3、1－3个小关节（2分）；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4、4－10个小关节（3分）；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5、超过10个关节（至少一个为小关节）（5分）。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（二）血清学（0－3分）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1、类风湿因子（RF）和抗环瓜氨酸肽抗体（抗CCP）阴性（0分）；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2、类风湿因子（RF）或抗环瓜氨酸肽抗体（抗CCP）低滴度阳性（滴度超过正常上限，但不高于3倍正常值上限）（2分）；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3、类风湿因子（RF）或抗环瓜氨酸肽抗体（抗CCP）高滴度阳性（滴度超过3倍正常值上限）（3分）。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（三）滑膜炎持续时间（0－1分）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1、少于6周（0分）；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2、6周或更长时间（1分）。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（四）急性期反应物（0－1分）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1、C-反应蛋白（CRP）和红细胞沉降率(ESR)均正常（0分）；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2、C-反应蛋白（CRP）或红细胞沉降率(ESR)升高（1分）。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同时满足2项必要条件，并有常规典型放射学类风湿关节炎骨破坏的改变，可明确诊断为类风湿关节炎。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如果满足2项必要条件，但没有常规典型放射学类风湿关节炎骨破坏的改变，需要进入上述分类评分系统，评分≥6分可明确诊断类风湿关节炎。</w:t>
            </w:r>
          </w:p>
          <w:p>
            <w:pPr>
              <w:keepNext w:val="0"/>
              <w:keepLines w:val="0"/>
              <w:pageBreakBefore w:val="0"/>
              <w:widowControl/>
              <w:kinsoku/>
              <w:wordWrap/>
              <w:overflowPunct/>
              <w:topLinePunct w:val="0"/>
              <w:autoSpaceDE/>
              <w:autoSpaceDN/>
              <w:bidi w:val="0"/>
              <w:adjustRightInd/>
              <w:snapToGrid/>
              <w:spacing w:line="320" w:lineRule="exact"/>
              <w:jc w:val="left"/>
              <w:textAlignment w:val="top"/>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320" w:lineRule="exact"/>
              <w:jc w:val="left"/>
              <w:textAlignment w:val="top"/>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幼年特发性关节炎诊断标准：</w:t>
            </w:r>
          </w:p>
          <w:p>
            <w:pPr>
              <w:keepNext w:val="0"/>
              <w:keepLines w:val="0"/>
              <w:pageBreakBefore w:val="0"/>
              <w:widowControl/>
              <w:kinsoku/>
              <w:wordWrap/>
              <w:overflowPunct/>
              <w:topLinePunct w:val="0"/>
              <w:autoSpaceDE/>
              <w:autoSpaceDN/>
              <w:bidi w:val="0"/>
              <w:adjustRightInd/>
              <w:snapToGrid/>
              <w:spacing w:line="320" w:lineRule="exact"/>
              <w:jc w:val="left"/>
              <w:textAlignment w:val="top"/>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16岁以前起病，持续6周或6周以上的单关节炎或多关节炎，并除外其他已知原因。</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JIA的国际风湿病联盟分类标准（ILAR，Edmonton,2001)</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1.全身型JIA：关节炎≥1个关节，发热至少2周（弛张高热a），至少持续3天，伴有以下一项或以上症状：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(1)间断出现的(非固定的)红斑样皮疹；</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(2)全身淋巴结肿大；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(3)肝和（或）脾增大；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(4)浆膜炎b。</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需要排除的情况：A．银屑病或患者或一级亲属有银屑病病史</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B．大于6岁、HLA-B27阳性的男性关节炎患者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C．患强直性脊柱炎、附着点炎症相关的关节炎、伴炎症性肠病的骶髂关节炎、瑞特综合征或急性前葡萄膜炎，或一级亲属中有上述疾病之一</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D．至少两次类风湿因子IgM阳性，两次间隔至少3个月。</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2.少关节型JIA：发病最初6个月1～4个关节受累，分2个亚类：(1)持续性少关节型：整个疾病过程中关节受累数≤4个；</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(2)扩展性关节型：病程6个月后受累关节数＞4个。</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需要排除的情况：A、B、C、D+E，E.有全身型JIA表现。</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3.多关节JIA</w:t>
            </w:r>
            <w:r>
              <w:rPr>
                <w:rStyle w:val="14"/>
                <w:rFonts w:ascii="Times New Roman" w:hAnsi="Times New Roman" w:eastAsia="方正仿宋_GBK"/>
                <w:color w:val="000000" w:themeColor="text1"/>
                <w:sz w:val="21"/>
                <w:szCs w:val="21"/>
                <w:lang w:bidi="ar"/>
                <w14:textFill>
                  <w14:solidFill>
                    <w14:schemeClr w14:val="tx1"/>
                  </w14:solidFill>
                </w14:textFill>
              </w:rPr>
              <w:t xml:space="preserve"> </w:t>
            </w:r>
            <w:r>
              <w:rPr>
                <w:rFonts w:ascii="Times New Roman" w:hAnsi="Times New Roman" w:eastAsia="方正仿宋_GBK" w:cs="方正仿宋_GBK"/>
                <w:color w:val="000000" w:themeColor="text1"/>
                <w:kern w:val="0"/>
                <w:szCs w:val="21"/>
                <w:lang w:bidi="ar"/>
                <w14:textFill>
                  <w14:solidFill>
                    <w14:schemeClr w14:val="tx1"/>
                  </w14:solidFill>
                </w14:textFill>
              </w:rPr>
              <w:t>（RF阴性）：发病最初的6个月，受累关节≥5个，RF阴性。需要排除的情况：A、B、C、D、E。</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4.多关节型JIA（RF阳性）：发病最初6个月，受累关节≥5个；在疾病的前6个月RF阳性≥2次，两次间隔至少3个月。需要排除的情况：A、B、C、E。</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5.银屑病关节炎：关节炎合并银屑病，或关节炎合并以下至少2项：(1)指(趾)炎c；</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(2)指甲凹陷或指甲脱离d；</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(3)一级亲属患银屑病。需要排除的情况：B、C、D、E。</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6.与附着点炎症相关的关节炎:关节炎和附着点炎症e，或关节炎或附着点炎症伴以下至少两项：</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(1)骶髂关节压痛或炎症性腰骶部疼痛f或既往有上述疾病；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(2)HLA-B27阳性；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(3)6岁以后发病的男性关节炎患者；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(4)急性（症状性）前葡萄膜炎；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(5)一级亲属中有强直性脊柱炎、与附着点炎症相关的关节炎、伴炎症性肠病的骶髂关节炎、瑞特综合征或急性前葡萄膜炎病史。需要排除的情况：A、D、E。</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7.未分类的JIA：不符合上述任何一项或符合上述2项以上类别的关节炎。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注：a弛张热定义为一天中体温峰值可达39℃，两个峰值之间体温可下降至37℃。</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b浆膜炎包括心包炎、胸膜炎、腹膜炎或同时具备三者。</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C指（趾）炎指至少1个指（趾）肿胀，常呈非对称性分布，并可延伸至指（趾）端。</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d任何时候出现一个或一个以上指甲至少两处凹陷。</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e附着点炎症指肌腱、韧带、关节囊或骨筋膜附着处压痛。</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f炎症性腰骶部疼痛指腰骶部疼痛伴有晨僵，活动后减轻。</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RF:类风湿因子。</w:t>
            </w:r>
          </w:p>
        </w:tc>
      </w:tr>
      <w:tr>
        <w:tblPrEx>
          <w:tblCellMar>
            <w:top w:w="0" w:type="dxa"/>
            <w:left w:w="108" w:type="dxa"/>
            <w:bottom w:w="0" w:type="dxa"/>
            <w:right w:w="108" w:type="dxa"/>
          </w:tblCellMar>
        </w:tblPrEx>
        <w:trPr>
          <w:trHeight w:val="91" w:hRule="atLeast"/>
        </w:trPr>
        <w:tc>
          <w:tcPr>
            <w:tcW w:w="75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8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00"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病因治疗</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c>
          <w:tcPr>
            <w:tcW w:w="1500" w:type="dxa"/>
            <w:tcBorders>
              <w:top w:val="nil"/>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XH02</w:t>
            </w:r>
          </w:p>
        </w:tc>
        <w:tc>
          <w:tcPr>
            <w:tcW w:w="2775" w:type="dxa"/>
            <w:tcBorders>
              <w:top w:val="nil"/>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全身用皮质激素类</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c>
          <w:tcPr>
            <w:tcW w:w="150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免疫抑制剂</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白介素抑制剂</w:t>
            </w:r>
          </w:p>
        </w:tc>
        <w:tc>
          <w:tcPr>
            <w:tcW w:w="1500"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XL04AC</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白介素抑制剂</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小分子靶向药物</w:t>
            </w:r>
          </w:p>
        </w:tc>
        <w:tc>
          <w:tcPr>
            <w:tcW w:w="150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XL04AA</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选择性免疫抑制剂</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单抗类</w:t>
            </w:r>
          </w:p>
        </w:tc>
        <w:tc>
          <w:tcPr>
            <w:tcW w:w="1500"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XL04AB</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肿瘤坏死因子α(TNF-α)抑制剂</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000000" w:sz="4" w:space="0"/>
              <w:right w:val="single" w:color="auto"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auto" w:sz="4" w:space="0"/>
              <w:left w:val="single" w:color="auto" w:sz="4" w:space="0"/>
              <w:bottom w:val="nil"/>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非甾体类抗炎和抗风湿药</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XM01A</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非甾体类抗炎和抗风湿药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并发症治疗（血管炎/肺间质病变/周围神经病变/骨质疏松）</w:t>
            </w:r>
          </w:p>
        </w:tc>
        <w:tc>
          <w:tcPr>
            <w:tcW w:w="25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抗纤维化治疗药物（限肺间质纤维化）</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XL04AX</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其他免疫抑制剂</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升白细胞、血小板类药物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XB03B</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维生素B12和叶酸</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钙代谢调节药物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维生素类</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XA12</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矿物质补充剂</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XC10A</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单方调节血脂药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钙离子拮抗剂</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钙通道阻滞剂</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XB01AC</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血小板凝聚抑制剂，肝素除外</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内皮素-l受体拮抗剂及5型磷酸二酯酶抑制剂（限肺动脉高压）</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XC02K</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其他抗高血压药</w:t>
            </w:r>
          </w:p>
        </w:tc>
      </w:tr>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7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血沉</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250101008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红细胞沉降率测定(ESR)</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250401025</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C—反应蛋白测定(CRP)</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波型蛋白</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CGKE1000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抗突变型瓜氨酸波型蛋白(MCV)抗体测定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CCP</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250402041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抗环瓜氨酸肽抗体(抗CCP抗体)测定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类风湿因子</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250402035</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类风湿因子(RF)测定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胸部CT（医保基金支付不超过1次/年）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X线计算机体层(CT)平扫</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210300002</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X线计算机体层(CT)增强扫描</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EBAJT001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胸部X线计算机体层(CT)平扫</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EBBJT001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胸部X线计算机体层(CT)增强扫描</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肺功能（限肺间质纤维化，医保基金支付不超过1次/年）</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310601001</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肺通气功能检查</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310601002</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肺弥散功能检查</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310601005</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残气容积测定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310601006</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强迫振荡肺功能检查</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310601008</w:t>
            </w:r>
          </w:p>
        </w:tc>
        <w:tc>
          <w:tcPr>
            <w:tcW w:w="2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流速容量曲线(V—V曲线)</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骨密度测定（医保基金支付不超过1次/年）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230200055</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骨密度测定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X线（医保基金支付不超过1次/年）</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210101001.40</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普通透视(四肢)</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210102015</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数字化X线摄影(DR)</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210102016</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计算机X线摄影(ComputedRadiography,CR)</w:t>
            </w:r>
          </w:p>
        </w:tc>
      </w:tr>
    </w:tbl>
    <w:p>
      <w:pPr>
        <w:spacing w:line="340" w:lineRule="exact"/>
        <w:rPr>
          <w:rFonts w:ascii="Times New Roman" w:hAnsi="Times New Roman"/>
          <w:color w:val="000000" w:themeColor="text1"/>
          <w:sz w:val="30"/>
          <w:szCs w:val="30"/>
          <w14:textFill>
            <w14:solidFill>
              <w14:schemeClr w14:val="tx1"/>
            </w14:solidFill>
          </w14:textFill>
        </w:rPr>
      </w:pPr>
    </w:p>
    <w:p>
      <w:pPr>
        <w:tabs>
          <w:tab w:val="left" w:pos="737"/>
        </w:tabs>
        <w:spacing w:line="340" w:lineRule="exact"/>
        <w:jc w:val="lef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r>
        <w:rPr>
          <w:rFonts w:ascii="Times New Roman" w:hAnsi="Times New Roman"/>
          <w:color w:val="000000" w:themeColor="text1"/>
          <w:sz w:val="30"/>
          <w:szCs w:val="30"/>
          <w14:textFill>
            <w14:solidFill>
              <w14:schemeClr w14:val="tx1"/>
            </w14:solidFill>
          </w14:textFill>
        </w:rPr>
        <w:t>29.</w:t>
      </w:r>
      <w:r>
        <w:rPr>
          <w:rFonts w:ascii="Times New Roman" w:hAnsi="Times New Roman" w:eastAsia="黑体"/>
          <w:color w:val="000000" w:themeColor="text1"/>
          <w:sz w:val="30"/>
          <w:szCs w:val="30"/>
          <w14:textFill>
            <w14:solidFill>
              <w14:schemeClr w14:val="tx1"/>
            </w14:solidFill>
          </w14:textFill>
        </w:rPr>
        <w:t>良性前列腺增生症</w:t>
      </w:r>
    </w:p>
    <w:tbl>
      <w:tblPr>
        <w:tblStyle w:val="4"/>
        <w:tblW w:w="8691" w:type="dxa"/>
        <w:tblInd w:w="93" w:type="dxa"/>
        <w:tblLayout w:type="fixed"/>
        <w:tblCellMar>
          <w:top w:w="0" w:type="dxa"/>
          <w:left w:w="108" w:type="dxa"/>
          <w:bottom w:w="0" w:type="dxa"/>
          <w:right w:w="108" w:type="dxa"/>
        </w:tblCellMar>
      </w:tblPr>
      <w:tblGrid>
        <w:gridCol w:w="695"/>
        <w:gridCol w:w="3286"/>
        <w:gridCol w:w="1710"/>
        <w:gridCol w:w="3000"/>
      </w:tblGrid>
      <w:tr>
        <w:tblPrEx>
          <w:tblCellMar>
            <w:top w:w="0" w:type="dxa"/>
            <w:left w:w="108" w:type="dxa"/>
            <w:bottom w:w="0" w:type="dxa"/>
            <w:right w:w="108" w:type="dxa"/>
          </w:tblCellMar>
        </w:tblPrEx>
        <w:trPr>
          <w:trHeight w:val="91" w:hRule="atLeast"/>
        </w:trPr>
        <w:tc>
          <w:tcPr>
            <w:tcW w:w="6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良性前列腺增生</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N40.x00</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前列腺增生</w:t>
            </w:r>
          </w:p>
        </w:tc>
      </w:tr>
      <w:tr>
        <w:tblPrEx>
          <w:tblCellMar>
            <w:top w:w="0" w:type="dxa"/>
            <w:left w:w="108" w:type="dxa"/>
            <w:bottom w:w="0" w:type="dxa"/>
            <w:right w:w="108" w:type="dxa"/>
          </w:tblCellMar>
        </w:tblPrEx>
        <w:trPr>
          <w:trHeight w:val="91"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一、年龄≥55岁，有尿频、排尿困难或尿潴留等症状。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二、出现以下之一并发症：合并下尿路梗阻相关肾、输尿管积水、反复泌尿系统感染、反复肉眼血尿、膀胱结石、膀胱憩室、腹股沟疝、尿潴留2次及以上。</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三、超声检查前列腺增大，且膀胱残余尿量≥50ml或最大尿流率&lt;10ml/s。</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满足一和二或满足一和三。</w:t>
            </w:r>
          </w:p>
        </w:tc>
      </w:tr>
      <w:tr>
        <w:tblPrEx>
          <w:tblCellMar>
            <w:top w:w="0" w:type="dxa"/>
            <w:left w:w="108" w:type="dxa"/>
            <w:bottom w:w="0" w:type="dxa"/>
            <w:right w:w="108" w:type="dxa"/>
          </w:tblCellMar>
        </w:tblPrEx>
        <w:trPr>
          <w:trHeight w:val="91" w:hRule="atLeast"/>
        </w:trPr>
        <w:tc>
          <w:tcPr>
            <w:tcW w:w="6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分类代码</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α受体阻滞剂（多沙唑嗪、坦索罗辛）；5-α还原酶抑制剂（非那雄胺）</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XC02C</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外周作用的抗肾上腺素能药</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XG04C</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良性前列腺肥大用药</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β3受体激动剂（米拉贝隆）；M受体阻滞剂（托特罗定、索利那新）</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XG04B</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泌尿系统药</w:t>
            </w:r>
          </w:p>
        </w:tc>
      </w:tr>
      <w:tr>
        <w:tblPrEx>
          <w:tblCellMar>
            <w:top w:w="0" w:type="dxa"/>
            <w:left w:w="108" w:type="dxa"/>
            <w:bottom w:w="0" w:type="dxa"/>
            <w:right w:w="108" w:type="dxa"/>
          </w:tblCellMar>
        </w:tblPrEx>
        <w:trPr>
          <w:trHeight w:val="91" w:hRule="atLeast"/>
        </w:trPr>
        <w:tc>
          <w:tcPr>
            <w:tcW w:w="6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2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kern w:val="0"/>
                <w:szCs w:val="21"/>
                <w:lang w:bidi="ar"/>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w:t>
            </w:r>
          </w:p>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服务项目编码</w:t>
            </w:r>
          </w:p>
        </w:tc>
        <w:tc>
          <w:tcPr>
            <w:tcW w:w="3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尿常规（医保基金支付不超过6次/年）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250102035</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尿液分析</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肾功能（医保基金支付不超过1次/年）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PSA（医保基金支付不超过1次/年）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250404005</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总前列腺特异性抗原测定(TPSA)</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250404006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游离前列腺特异性抗原测定(FPSA)</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尿流动力学检查（医保基金支付不超过1次/年）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311000039</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尿流动力学检测</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膀胱残余尿量检查（医保基金支付不超过1次/年）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220203005</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膀胱残余尿量测定</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泌尿系超声（医保基金支付不超过2次/年）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220201002.40</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B超常规检查(泌尿系)</w:t>
            </w:r>
          </w:p>
        </w:tc>
      </w:tr>
      <w:tr>
        <w:tblPrEx>
          <w:tblCellMar>
            <w:top w:w="0" w:type="dxa"/>
            <w:left w:w="108" w:type="dxa"/>
            <w:bottom w:w="0" w:type="dxa"/>
            <w:right w:w="108" w:type="dxa"/>
          </w:tblCellMar>
        </w:tblPrEx>
        <w:trPr>
          <w:trHeight w:val="91" w:hRule="atLeast"/>
        </w:trPr>
        <w:tc>
          <w:tcPr>
            <w:tcW w:w="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220301001d</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彩色多普勒超声常规检查(泌尿系)</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0.</w:t>
      </w:r>
      <w:r>
        <w:rPr>
          <w:rFonts w:ascii="Times New Roman" w:hAnsi="Times New Roman" w:eastAsia="黑体"/>
          <w:color w:val="000000" w:themeColor="text1"/>
          <w:sz w:val="30"/>
          <w:szCs w:val="30"/>
          <w14:textFill>
            <w14:solidFill>
              <w14:schemeClr w14:val="tx1"/>
            </w14:solidFill>
          </w14:textFill>
        </w:rPr>
        <w:t>原发性青光眼</w:t>
      </w:r>
    </w:p>
    <w:tbl>
      <w:tblPr>
        <w:tblStyle w:val="4"/>
        <w:tblW w:w="8843" w:type="dxa"/>
        <w:tblInd w:w="93" w:type="dxa"/>
        <w:tblLayout w:type="fixed"/>
        <w:tblCellMar>
          <w:top w:w="0" w:type="dxa"/>
          <w:left w:w="108" w:type="dxa"/>
          <w:bottom w:w="0" w:type="dxa"/>
          <w:right w:w="108" w:type="dxa"/>
        </w:tblCellMar>
      </w:tblPr>
      <w:tblGrid>
        <w:gridCol w:w="758"/>
        <w:gridCol w:w="2788"/>
        <w:gridCol w:w="1937"/>
        <w:gridCol w:w="3360"/>
      </w:tblGrid>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原发性青光眼</w:t>
            </w:r>
          </w:p>
        </w:tc>
        <w:tc>
          <w:tcPr>
            <w:tcW w:w="1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H40.100</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原发性开角型青光眼</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H40.200</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原发性闭角型青光眼</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H40.103</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正常眼压性青光眼</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Q15.000</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先天性青光眼</w:t>
            </w:r>
          </w:p>
        </w:tc>
      </w:tr>
      <w:tr>
        <w:tblPrEx>
          <w:tblCellMar>
            <w:top w:w="0" w:type="dxa"/>
            <w:left w:w="108" w:type="dxa"/>
            <w:bottom w:w="0" w:type="dxa"/>
            <w:right w:w="108" w:type="dxa"/>
          </w:tblCellMar>
        </w:tblPrEx>
        <w:trPr>
          <w:trHeight w:val="91" w:hRule="atLeast"/>
        </w:trPr>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hint="eastAsia"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满足以下任意一条：</w:t>
            </w:r>
          </w:p>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一、存在典型的青光眼性视神经乳头和视野损害；排除继发性青光眼与闭角型青光眼。</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二、经手术治疗后出现视野持续损伤且需要药物治疗的原发性闭角型青光眼。</w:t>
            </w:r>
          </w:p>
        </w:tc>
      </w:tr>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3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抗青光眼制剂和缩瞳剂</w:t>
            </w:r>
          </w:p>
        </w:tc>
        <w:tc>
          <w:tcPr>
            <w:tcW w:w="19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XS01E</w:t>
            </w:r>
          </w:p>
        </w:tc>
        <w:tc>
          <w:tcPr>
            <w:tcW w:w="33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抗青光眼制剂和缩瞳剂</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产生渗透性利尿的溶液（甘露醇）</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XB05BC</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产生渗透性利尿的溶液</w:t>
            </w:r>
          </w:p>
        </w:tc>
      </w:tr>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眼底照像</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310300053</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眼底照相</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视野检查</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310300005</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视野检查</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视盘OCT检查</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310300064</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光学相干断层成像（OCT）</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眼科超声生物显微镜（UBM）</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310300063</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超声生物显微镜检查（UBM）</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前节OCT</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310300064</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光学相干断层成像（OCT）</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血流OCT</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310300064</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光学相干断层成像（OCT）</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房角镜</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310300050</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裂隙灯下房角镜检查</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激光治疗</w:t>
            </w:r>
          </w:p>
        </w:tc>
        <w:tc>
          <w:tcPr>
            <w:tcW w:w="19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310300081.10</w:t>
            </w:r>
          </w:p>
        </w:tc>
        <w:tc>
          <w:tcPr>
            <w:tcW w:w="3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激光治疗眼前节病(治疗青光眼)</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7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眼压（Corvis眼压，Goldmann眼压，Icare眼压，NCT等）</w:t>
            </w:r>
          </w:p>
        </w:tc>
        <w:tc>
          <w:tcPr>
            <w:tcW w:w="19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310300027</w:t>
            </w:r>
          </w:p>
        </w:tc>
        <w:tc>
          <w:tcPr>
            <w:tcW w:w="33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眼压检查</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1.</w:t>
      </w:r>
      <w:r>
        <w:rPr>
          <w:rFonts w:ascii="Times New Roman" w:hAnsi="Times New Roman" w:eastAsia="黑体"/>
          <w:color w:val="000000" w:themeColor="text1"/>
          <w:sz w:val="30"/>
          <w:szCs w:val="30"/>
          <w14:textFill>
            <w14:solidFill>
              <w14:schemeClr w14:val="tx1"/>
            </w14:solidFill>
          </w14:textFill>
        </w:rPr>
        <w:t>精神分裂症</w:t>
      </w:r>
    </w:p>
    <w:tbl>
      <w:tblPr>
        <w:tblStyle w:val="4"/>
        <w:tblW w:w="8691" w:type="dxa"/>
        <w:tblInd w:w="93" w:type="dxa"/>
        <w:tblLayout w:type="fixed"/>
        <w:tblCellMar>
          <w:top w:w="0" w:type="dxa"/>
          <w:left w:w="108" w:type="dxa"/>
          <w:bottom w:w="0" w:type="dxa"/>
          <w:right w:w="108" w:type="dxa"/>
        </w:tblCellMar>
      </w:tblPr>
      <w:tblGrid>
        <w:gridCol w:w="816"/>
        <w:gridCol w:w="1487"/>
        <w:gridCol w:w="1830"/>
        <w:gridCol w:w="1500"/>
        <w:gridCol w:w="3058"/>
      </w:tblGrid>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精神分裂症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F20.000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偏执型精神分裂症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F20.000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偏执型精神分裂症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F20.100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青春型精神分裂症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F20.200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紧张型精神分裂症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F20.200x002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紧张性木僵</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F20.201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紧张症综合征</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F20.300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未分化型精神分裂症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F20.301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非典型精神分裂症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F20.400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精神分裂症后抑郁</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F20.500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残留型精神分裂症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F20.501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F20.600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单纯型精神分裂症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F20.800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精神分裂症，其他的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F20.800x001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难治性精神分裂症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F20.800x002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精神分裂症衰退期</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F20.800x003</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精神分裂症缓解期</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F20.801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体感异常性精神分裂症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F20.802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晚发性精神分裂症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F20.803</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强迫型精神分裂症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F20.900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精神分裂症</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F99.x00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2"/>
                <w:sz w:val="21"/>
                <w:szCs w:val="21"/>
                <w:lang w:val="en-US" w:eastAsia="zh-CN" w:bidi="ar-SA"/>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精神障碍</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 xml:space="preserve">F21.x00 </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val="en-US" w:eastAsia="zh-CN" w:bidi="ar"/>
                <w14:textFill>
                  <w14:solidFill>
                    <w14:schemeClr w14:val="tx1"/>
                  </w14:solidFill>
                </w14:textFill>
              </w:rPr>
              <w:t>分裂型障碍</w:t>
            </w:r>
          </w:p>
        </w:tc>
      </w:tr>
      <w:tr>
        <w:tblPrEx>
          <w:tblCellMar>
            <w:top w:w="0" w:type="dxa"/>
            <w:left w:w="108" w:type="dxa"/>
            <w:bottom w:w="0" w:type="dxa"/>
            <w:right w:w="108" w:type="dxa"/>
          </w:tblCellMar>
        </w:tblPrEx>
        <w:trPr>
          <w:trHeight w:val="91"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1.符合《ICD—10国际疾病分类与诊断标准（第十版）-精神与行为障碍》中关于精神分裂症（F20）的诊断标准。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(a)思维鸣响，思维插入或思维被撤走以及思维广播;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(b)明确涉及躯体或四肢运动，或特殊思维、行动或感觉的被影响被控制或被动妄想;妄想性知觉;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(c)对病人的行为进行跟踪性评论，或彼此对病人加以讨论的幻听或来源于身体某一部分的其它类型的听幻觉;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(d)与文化不相称且根本不可能的其它类型的持续性妄想，如具有某种宗教或政治身份，或超人的力量和能力(例如能控制天气，或与另一世界的外来者进行交流);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(e)伴有转瞬即逝的或未充分形成的无明显情感内容的妄想、或伴有持久的超价观念，或连续数周或数月每日均出现的任何感官的幻觉; </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(f)思潮断裂或无关的插入语,导致言语不连贯，或不中肯或词语新作;紧张性行为，如兴奋、摆姿势，或蜡样屈曲、违拗、缄默及木僵;</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(g)紧张性行为，如兴奋、摆姿势，或蜡样屈曲、违拗、缄默及木僵；</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(h)“阴性”症状，如显著的情感淡漠、言语贫乏、情感反应迟钝或不协调，常导致社会退缩及社会功能的下降，但必须澄清这些症状并非由抑郁症或神经阻滞剂治疗所致;</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(i)个人行为的某些方面发生显著而持久的总体性质的改变,表现为丧失兴趣、缺乏目的、懒散、自我专注及社会退缩。</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诊断精神分裂症通常要求在一个月或以上时期的大部分时间内确实存在属于上述(a)到(d)中至少一个(如不甚明确常需两个或多个症状)或(e)到(h)中来自至少两组症状群中的十分明确的症状。符合症状要求但病程不足一个月的状况(无论是否经过治疗)应首先诊断为急性精神分裂症样精神病性障碍(F23.2),如症状持续更长的时间重新归类为精神分裂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有相关病史资料。精神专科医院或综合医院精神科（具有精神科执业范围的科室）出具的出院记录(记载病情和治疗方案）和诊断证明（加盖医疗机构公章）≥1次；或门诊诊疗记录（记载病情和治疗方案）每月1次连续3月以上。</w:t>
            </w:r>
          </w:p>
        </w:tc>
      </w:tr>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治疗精神分裂症伴发其他精神症状的药物（包括抗抑郁药、抗焦虑药、心境稳定剂）</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XN03AX</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其他抗癫痫药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XN03AG</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脂肪酸衍生物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XN03AF</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氨甲酰衍生物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XN03AE</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苯二氮䓬衍生物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镇静药物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上述药物引起不良反应的对症治疗药物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XN04A</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治疗功能性胃肠道疾病的药物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XA03B</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单方颠茄及其衍生物</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物理治疗</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重复经颅磁刺激治疗（医保基金支付不超过30次/年，每次30分钟）</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311503031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经颅磁刺激治疗</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MECT治疗（医保基金支付不超过12次/年）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311503005</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多参数监护无抽搐电休克治疗</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药物浓度</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250304013.a0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微量元素测定(锂测定)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视觉电位+N400检查（医保基金支付不超过2次/年）</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310100011</w:t>
            </w:r>
          </w:p>
        </w:tc>
        <w:tc>
          <w:tcPr>
            <w:tcW w:w="3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事件相关电位</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眼动检查（医保基金支付不超过2次/年）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311502002</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2.</w:t>
      </w:r>
      <w:r>
        <w:rPr>
          <w:rFonts w:ascii="Times New Roman" w:hAnsi="Times New Roman" w:eastAsia="黑体"/>
          <w:color w:val="000000" w:themeColor="text1"/>
          <w:sz w:val="30"/>
          <w:szCs w:val="30"/>
          <w14:textFill>
            <w14:solidFill>
              <w14:schemeClr w14:val="tx1"/>
            </w14:solidFill>
          </w14:textFill>
        </w:rPr>
        <w:t>心境障碍</w:t>
      </w:r>
    </w:p>
    <w:tbl>
      <w:tblPr>
        <w:tblStyle w:val="4"/>
        <w:tblW w:w="8691" w:type="dxa"/>
        <w:tblInd w:w="93" w:type="dxa"/>
        <w:tblLayout w:type="fixed"/>
        <w:tblCellMar>
          <w:top w:w="0" w:type="dxa"/>
          <w:left w:w="108" w:type="dxa"/>
          <w:bottom w:w="0" w:type="dxa"/>
          <w:right w:w="108" w:type="dxa"/>
        </w:tblCellMar>
      </w:tblPr>
      <w:tblGrid>
        <w:gridCol w:w="758"/>
        <w:gridCol w:w="1125"/>
        <w:gridCol w:w="1421"/>
        <w:gridCol w:w="1924"/>
        <w:gridCol w:w="3463"/>
      </w:tblGrid>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心境障碍（除抑郁）</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F30.000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轻躁狂</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F30.100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不伴有精神病性症状的躁狂</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F30.100x001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不伴有精神病性症状的躁狂发作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F30.200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伴有精神病性症状的躁狂</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F30.200x001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伴有精神病性症状的躁狂发作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F30.200x002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躁狂性木僵</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F30.201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谵妄性躁狂症</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F30.800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躁狂发作，其他的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F30.800x002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兴奋状态</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F30.800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躁狂发作，其他的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F30.900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F30.900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F30.901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兴奋躁动状态</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F31.000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双相情感障碍，目前为轻躁狂发作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F31.000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双相情感障碍，目前为轻躁狂发作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F31.100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双相情感障碍，目前为不伴有精神病性症状的躁狂发作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F31.100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双相情感障碍，目前为不伴有精神病性症状的躁狂发作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F31.200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双相情感障碍，目前为伴有精神病性症状的躁狂发作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F31.200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双相情感障碍，目前为伴有精神病性症状的躁狂发作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双相情感障碍，目前为轻度或中度抑郁发作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双相情感障碍，目前为中度抑郁发作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F31.300x002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双相情感障碍,目前为轻度抑郁发作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F31.300x003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双相情感障碍,目前为不伴有躯体症状的轻度抑郁发作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F31.300x005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双相情感障碍,目前为不伴有躯体症状的中度抑郁发作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F31.300x011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双相情感障碍,目前为伴有躯体症状的轻度抑郁发作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F31.300x012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双相情感障碍,目前为伴有躯体症状的中度抑郁发作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F31.301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双相情感障碍，目前为中度抑郁发作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F31.400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双相情感障碍，目前为不伴有精神病性症状的重度抑郁发作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F31.400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双相情感障碍，目前为不伴有精神病性症状的重度抑郁发作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F31.500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双相情感障碍，目前为伴有精神病性症状的重度抑郁发作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F31.500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双相情感障碍，目前为伴有精神病性症状的重度抑郁发作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F31.600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双相情感障碍，目前为混合性发作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F31.600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双相情感障碍，目前为混合性发作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F31.700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双相情感障碍，目前为缓解状态</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F31.700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双相情感障碍，目前为缓解状态</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F31.800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双相情感障碍,其他的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F31.800x001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复发性躁狂发作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F31.800x002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双相情感障碍2型</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F31.800x003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难治性双相情感障碍</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F31.801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慢性躁狂症</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F31.802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双相情感障碍,快速循环型</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F31.803</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非典型双相情感障碍</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F31.900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F31.900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F31.901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双相情感障碍Ⅰ型</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F38.001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混合性情感发作</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F38.100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复发性心境［情感］障碍，其他的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F38.100x001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复发心境[情感]障碍</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F38.800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心境［情感］障碍，其他特指的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F39.x00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心境［情感］障碍</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F39.x00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心境［情感］障碍</w:t>
            </w:r>
          </w:p>
        </w:tc>
      </w:tr>
      <w:tr>
        <w:tblPrEx>
          <w:tblCellMar>
            <w:top w:w="0" w:type="dxa"/>
            <w:left w:w="108" w:type="dxa"/>
            <w:bottom w:w="0" w:type="dxa"/>
            <w:right w:w="108" w:type="dxa"/>
          </w:tblCellMar>
        </w:tblPrEx>
        <w:trPr>
          <w:trHeight w:val="91"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5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1.符合《ICD—10国际疾病分类与诊断标准（第十版）-精神与行为障碍》中相关心境障碍（F30-F39，其中F32/F33抑郁症相关诊断除外）的诊断标准。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（1）躁狂发作</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有以下三种不同形式的躁狂发作：轻躁狂（F30.0）、躁狂，不伴精神病性症状（F30.1）、躁狂，伴精神病性症状（F30.2）。其共有的基本特征是心境高涨，身体和精神活动的量和速度均增加。本类中所有亚型都仅用于单次躁狂发作,若发作之前或之后有情感(抑郁、躁狂、轻躁狂)发作，则应归于双相情感障碍(F31.-)。</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包含:双相障碍；单次躁狂发作</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（2）双相障碍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本病的特点是反复（至少两次）出现心境和活动水平明显紊乱的发作，紊乱有时表现为心境高涨、精力和活动增加(躁狂或轻躁狂)，有表现为心境低落、精力降低和活动减少(抑郁)。发作间期通常以完全缓解为特征。与其它心境障碍相比,本病在两性的发病率为接近。由于仅有躁狂的病人相对罕见，而且他们与至少偶有抑郁发作的病人有类似 (在家庭史、病前人格、起病年龄、长期预后等方面)，故这类病人也的于双相(F31.8)。</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躁狂发作通常起病突然，持续时间2周至4、5个月不等(中数约4个月);抑郁持续时间趋于长一些(中数约6个月);但除在老年期外,很少超过1年。两类发作通常都继之于应激性生活事件或其它精神创伤,但应激的存在并非诊断必需。首次发病可见于从童年到老年的任何年龄。发作频率、复发与缓解的形式均有很大变异，但随着时间推移，缓解期有渐短的趋势。中年之后，抑郁变得更为常见，持续时间也更长。</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有相关病史资料。精神专科医院或综合医院精神科（具有精神科执业范围的科室）出具的出院记录(记载病情和治疗方案）和诊断证明（加盖医疗机构公章）≥1次；或门诊诊疗记录（记载病情和治疗方案）每月1次连续6月以上。</w:t>
            </w:r>
          </w:p>
        </w:tc>
      </w:tr>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4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抗抑郁药、抗焦虑药、心境稳定剂</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XN03AX</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其他抗癫痫药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XN03AG</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脂肪酸衍生物</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XN03AF</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氨甲酰衍生物</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XN03AE</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苯二氮䓬衍生物</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镇静药</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上述药物引起不良反应的对症治疗药物</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XN04A</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治疗功能性胃肠道疾病的药物</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XA03B</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单方颠茄及其衍生物</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物理治疗</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重复经颅磁刺激治疗（医保基金支付不超过30次/年，每次30分钟）</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311503031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经颅磁刺激治疗</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MECT治疗MECT治疗（医保基金支付不超过12次/年）</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多参数监护无抽搐电休克治疗</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药物浓度</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250304013.a0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微量元素测定(锂测定)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视觉电位+N400检查（医保基金支付不超过2次/年）</w:t>
            </w:r>
          </w:p>
        </w:tc>
        <w:tc>
          <w:tcPr>
            <w:tcW w:w="19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310100011</w:t>
            </w:r>
          </w:p>
        </w:tc>
        <w:tc>
          <w:tcPr>
            <w:tcW w:w="34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事件相关电位</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眼动检查（医保基金支付不超过2次/年）</w:t>
            </w:r>
          </w:p>
        </w:tc>
        <w:tc>
          <w:tcPr>
            <w:tcW w:w="19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311502002</w:t>
            </w:r>
          </w:p>
        </w:tc>
        <w:tc>
          <w:tcPr>
            <w:tcW w:w="34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3.</w:t>
      </w:r>
      <w:r>
        <w:rPr>
          <w:rFonts w:ascii="Times New Roman" w:hAnsi="Times New Roman" w:eastAsia="黑体"/>
          <w:color w:val="000000" w:themeColor="text1"/>
          <w:sz w:val="30"/>
          <w:szCs w:val="30"/>
          <w14:textFill>
            <w14:solidFill>
              <w14:schemeClr w14:val="tx1"/>
            </w14:solidFill>
          </w14:textFill>
        </w:rPr>
        <w:t>偏执性精神障碍</w:t>
      </w:r>
    </w:p>
    <w:tbl>
      <w:tblPr>
        <w:tblStyle w:val="4"/>
        <w:tblW w:w="8691" w:type="dxa"/>
        <w:tblInd w:w="93" w:type="dxa"/>
        <w:tblLayout w:type="fixed"/>
        <w:tblCellMar>
          <w:top w:w="0" w:type="dxa"/>
          <w:left w:w="108" w:type="dxa"/>
          <w:bottom w:w="0" w:type="dxa"/>
          <w:right w:w="108" w:type="dxa"/>
        </w:tblCellMar>
      </w:tblPr>
      <w:tblGrid>
        <w:gridCol w:w="786"/>
        <w:gridCol w:w="1472"/>
        <w:gridCol w:w="1650"/>
        <w:gridCol w:w="1978"/>
        <w:gridCol w:w="2805"/>
      </w:tblGrid>
      <w:tr>
        <w:tblPrEx>
          <w:tblCellMar>
            <w:top w:w="0" w:type="dxa"/>
            <w:left w:w="108" w:type="dxa"/>
            <w:bottom w:w="0" w:type="dxa"/>
            <w:right w:w="108" w:type="dxa"/>
          </w:tblCellMar>
        </w:tblPrEx>
        <w:trPr>
          <w:trHeight w:val="91" w:hRule="atLeast"/>
        </w:trPr>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F22.000</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妄想性障碍</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偏执性精神病</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F22.000</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妄想性障碍</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偏执性精神病</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F22.002</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妄想狂</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F22.003</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偏执状态</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F22.800</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持久的妄想性障碍，其他的</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F22.800x001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更年期偏执状态</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F22.900</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持久妄想性障碍</w:t>
            </w:r>
          </w:p>
        </w:tc>
      </w:tr>
      <w:tr>
        <w:tblPrEx>
          <w:tblCellMar>
            <w:top w:w="0" w:type="dxa"/>
            <w:left w:w="108" w:type="dxa"/>
            <w:bottom w:w="0" w:type="dxa"/>
            <w:right w:w="108" w:type="dxa"/>
          </w:tblCellMar>
        </w:tblPrEx>
        <w:trPr>
          <w:trHeight w:val="91"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符合《ICD—10国际疾病分类与诊断标准（第十版）-精神与行为障碍》中妄想型精神障碍（F22）的诊断标准。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本组包括不能归类为器质性障碍、精神分裂症或情感性障碍的以期持续性妄想为唯一或最突出临床特征的各种障碍。它们可能是病因异质性的，与精神分裂症的关系尚不能确定。遗传、人格特点及生活环境在其起病中的相对作用也未能确定，估计各不相同。妄想型精神障碍包括妄想性障碍（F22.0）和其它持久的妄想性障碍（F22.8）。</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（1）妄想性障碍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妄想是最突出的或唯一的临床特征，妄想必须存在至少三个月，必须明确地为病人的个人观念,而非亚文化观念。可间断性地出现抑郁症状甚至完全的抑郁发作(F32.-),但没有心境障碍时妄想仍持续存在不应存在脑疾病的证据;没有或偶然才有听幻觉;无精神分裂症性症状(被控制妄想、思维被广播等)的病史。包含:偏执狂；偏执性精神病；偏执状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（2）其它持久的妄想性障碍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本类别是为持续妄想性障碍中不符合妄想性障碍(F22.0)标准者所保留的编码。在此处编码之障碍其妄想应伴有持久的幻听或伴有不足以诊断为精神分裂症(F20.-)的分裂性症状。妄想性障碍持续尚不足三个月者应在F23.-处编码(至少为暂时性)。</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包含:妄想性畸形恐怖；更年期偏执状态；好争辩的偏执狂</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有相关病史资料。精神专科医院或综合医院精神科（具有精神科执业范围的科室）出具的出院记录(记载病情和治疗方案）和诊断证明（加盖医疗机构公章）≥1次；或门诊诊疗记录（记载病情和治疗方案）每月1次连续6月以上。</w:t>
            </w:r>
          </w:p>
        </w:tc>
      </w:tr>
      <w:tr>
        <w:tblPrEx>
          <w:tblCellMar>
            <w:top w:w="0" w:type="dxa"/>
            <w:left w:w="108" w:type="dxa"/>
            <w:bottom w:w="0" w:type="dxa"/>
            <w:right w:w="108" w:type="dxa"/>
          </w:tblCellMar>
        </w:tblPrEx>
        <w:trPr>
          <w:trHeight w:val="91" w:hRule="atLeast"/>
        </w:trPr>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治疗精神分裂症伴发其他精神症状的药物（包括抗抑郁药、抗焦虑药、心境稳定剂）</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XN03AX</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其他抗癫痫药</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XN03AG</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脂肪酸衍生物</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XN03AF</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氨甲酰衍生物</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XN03AE</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苯二氮䓬衍生物</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镇静药物</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上述药物引起不良反应的对症治疗药物</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XN04A</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治疗功能性胃肠道疾病的药物</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XA03B</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单方颠茄及其衍生物</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物理治疗</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重复经颅磁刺激治疗（医保基金支付不超过30次/年，每次30分钟）</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311503031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经颅磁刺激治疗</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MECT治疗（医保基金支付不超过12次/年）</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311503005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多参数监护无抽搐电休克治疗</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药物浓度</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250304013.a0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微量元素测定(锂测定)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视觉电位+N400检查</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310100011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事件相关电位</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眼动检查（医保基金支付不超过2次/年）</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311502002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1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4.</w:t>
      </w:r>
      <w:r>
        <w:rPr>
          <w:rFonts w:ascii="Times New Roman" w:hAnsi="Times New Roman" w:eastAsia="黑体"/>
          <w:color w:val="000000" w:themeColor="text1"/>
          <w:sz w:val="30"/>
          <w:szCs w:val="30"/>
          <w14:textFill>
            <w14:solidFill>
              <w14:schemeClr w14:val="tx1"/>
            </w14:solidFill>
          </w14:textFill>
        </w:rPr>
        <w:t>分裂情感性障碍</w:t>
      </w:r>
    </w:p>
    <w:tbl>
      <w:tblPr>
        <w:tblStyle w:val="4"/>
        <w:tblW w:w="8813" w:type="dxa"/>
        <w:tblInd w:w="93" w:type="dxa"/>
        <w:tblLayout w:type="fixed"/>
        <w:tblCellMar>
          <w:top w:w="0" w:type="dxa"/>
          <w:left w:w="108" w:type="dxa"/>
          <w:bottom w:w="0" w:type="dxa"/>
          <w:right w:w="108" w:type="dxa"/>
        </w:tblCellMar>
      </w:tblPr>
      <w:tblGrid>
        <w:gridCol w:w="773"/>
        <w:gridCol w:w="1905"/>
        <w:gridCol w:w="1365"/>
        <w:gridCol w:w="1955"/>
        <w:gridCol w:w="2815"/>
      </w:tblGrid>
      <w:tr>
        <w:tblPrEx>
          <w:tblCellMar>
            <w:top w:w="0" w:type="dxa"/>
            <w:left w:w="108" w:type="dxa"/>
            <w:bottom w:w="0" w:type="dxa"/>
            <w:right w:w="108" w:type="dxa"/>
          </w:tblCellMar>
        </w:tblPrEx>
        <w:trPr>
          <w:trHeight w:val="91"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F25.000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分裂情感性障碍，躁狂型</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F25.000x001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分裂情感性障碍躁狂发作</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F25.100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分裂情感性障碍，抑郁型</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F25.100x001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分裂情感性障碍抑郁发作</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F25.200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分裂情感性障碍，混合型</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F25.200x001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周期性精神病性障碍</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F25.200x002</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分裂情感性障碍混合发作</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F25.800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分裂情感性障碍，其他的</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F25.900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分裂情感性障碍</w:t>
            </w:r>
          </w:p>
        </w:tc>
      </w:tr>
      <w:tr>
        <w:tblPrEx>
          <w:tblCellMar>
            <w:top w:w="0" w:type="dxa"/>
            <w:left w:w="108" w:type="dxa"/>
            <w:bottom w:w="0" w:type="dxa"/>
            <w:right w:w="108" w:type="dxa"/>
          </w:tblCellMar>
        </w:tblPrEx>
        <w:trPr>
          <w:trHeight w:val="91"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80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1.符合《ICD—10国际疾病分类与诊断标准（第十版）-精神与行为障碍》中分裂情感性障碍(F25)的诊断标准。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为一种发作性障碍，情感性症状与分裂性症状在疾病的同一次发中都很明显,两种症状多为同时出现或至多相差几天。本类障碍与典心境(情感性)障碍(F30-F39)及精神分裂症(F20-F24)的关系尚确定，之所以给本症单独的目录是因为它十分常见，不容忽视。情感症状附加于预先存在的精神分裂症性疾病或组成其一部分，或与精神分裂症或其它持久的妄想性障碍共存或交替出现时,在F20-F29的适当类别中归类。情感性障碍与心境不   协调的妄想或幻觉(F30.2，F31.2，F31.5，F32.3或F33.3)本身并不能诊断为分裂情感性障碍。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只有在疾病的同一次发作中，明显而确实的分裂性症状和情感性症状同时出现或只差几天,因而该发作既不符合精神分裂症亦不符合抑郁或躁狂发作的标准，此时方可作出分裂情感性障碍的诊断。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有相关病史资料。精神专科医院或综合医院精神科（具有精神科执业范围的科室）出具的出院记录(记载病情和治疗方案）和诊断证明（加盖医疗机构公章）≥1次；或门诊诊疗记录（记载病情和治疗方案）每月1次连续6月以上。</w:t>
            </w:r>
          </w:p>
        </w:tc>
      </w:tr>
      <w:tr>
        <w:tblPrEx>
          <w:tblCellMar>
            <w:top w:w="0" w:type="dxa"/>
            <w:left w:w="108" w:type="dxa"/>
            <w:bottom w:w="0" w:type="dxa"/>
            <w:right w:w="108" w:type="dxa"/>
          </w:tblCellMar>
        </w:tblPrEx>
        <w:trPr>
          <w:trHeight w:val="91"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治疗精神分裂症伴发其他精神症状的药物（包括抗抑郁药、抗焦虑药、心境稳定剂）</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XN03AX</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其他抗癫痫药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XN03AG</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脂肪酸衍生物</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XN03AF</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氨甲酰衍生物</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XN03AE</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苯二氮䓬衍生物</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镇静药物</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上述药物引起不良反应的对症治疗药物</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XN04A</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治疗功能性胃肠道疾病的药物</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XA03B</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单方颠茄及其衍生物</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物理治疗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重复经颅磁刺激治疗（医保基金支付不超过30次/年，每次30分钟）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311503031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经颅磁刺激治疗</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MECT治疗（医保基金支付不超过12次/年）</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311503005</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多参数监护无抽搐电休克治疗</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药物浓度</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250304013.a0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微量元素测定(锂测定)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视觉电位+N400检查（医保基金支付不超过2次/年）</w:t>
            </w:r>
          </w:p>
        </w:tc>
        <w:tc>
          <w:tcPr>
            <w:tcW w:w="19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310100011</w:t>
            </w:r>
          </w:p>
        </w:tc>
        <w:tc>
          <w:tcPr>
            <w:tcW w:w="2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事件相关电位</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眼动检查（医保基金支付不超过2次/年）</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311502002</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eastAsia="黑体"/>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5.</w:t>
      </w:r>
      <w:r>
        <w:rPr>
          <w:rFonts w:ascii="Times New Roman" w:hAnsi="Times New Roman" w:eastAsia="黑体"/>
          <w:color w:val="000000" w:themeColor="text1"/>
          <w:sz w:val="30"/>
          <w:szCs w:val="30"/>
          <w14:textFill>
            <w14:solidFill>
              <w14:schemeClr w14:val="tx1"/>
            </w14:solidFill>
          </w14:textFill>
        </w:rPr>
        <w:t>癫痫所致精神障碍</w:t>
      </w:r>
    </w:p>
    <w:tbl>
      <w:tblPr>
        <w:tblStyle w:val="4"/>
        <w:tblW w:w="8691" w:type="dxa"/>
        <w:tblInd w:w="93" w:type="dxa"/>
        <w:tblLayout w:type="fixed"/>
        <w:tblCellMar>
          <w:top w:w="0" w:type="dxa"/>
          <w:left w:w="108" w:type="dxa"/>
          <w:bottom w:w="0" w:type="dxa"/>
          <w:right w:w="108" w:type="dxa"/>
        </w:tblCellMar>
      </w:tblPr>
      <w:tblGrid>
        <w:gridCol w:w="698"/>
        <w:gridCol w:w="2980"/>
        <w:gridCol w:w="2045"/>
        <w:gridCol w:w="2968"/>
      </w:tblGrid>
      <w:tr>
        <w:tblPrEx>
          <w:tblCellMar>
            <w:top w:w="0" w:type="dxa"/>
            <w:left w:w="108" w:type="dxa"/>
            <w:bottom w:w="0" w:type="dxa"/>
            <w:right w:w="108" w:type="dxa"/>
          </w:tblCellMar>
        </w:tblPrEx>
        <w:trPr>
          <w:trHeight w:val="91"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癫痫所致精神障碍</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F06.801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癫痫性精神病</w:t>
            </w:r>
          </w:p>
        </w:tc>
      </w:tr>
      <w:tr>
        <w:tblPrEx>
          <w:tblCellMar>
            <w:top w:w="0" w:type="dxa"/>
            <w:left w:w="108" w:type="dxa"/>
            <w:bottom w:w="0" w:type="dxa"/>
            <w:right w:w="108" w:type="dxa"/>
          </w:tblCellMar>
        </w:tblPrEx>
        <w:trPr>
          <w:trHeight w:val="91"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 符合《ICD—10国际疾病分类与诊断标准（第十版）》癫痫所致精神障碍的诊断标准。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（1）符合器质性精神障碍的诊断标准；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（2）癫痫史或癫痫发作的证据；</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（3）精神障碍的发生及其病程与癫痫相关；</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是指一组反复发作的脑异常放电导致的精神障碍。可分为发作性和持续性精神障碍两类。前者为一定时间内的感觉、知觉、记忆、思维等障碍，心境恶劣，精神运动性发作，或短暂精神分裂症样发作，发作具有突然性、短暂性，及反复发作的特点；后者为分裂症样障碍、人格改变，或智能损害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有相关病史资料。精神专科医院或综合医院精神科（具有精神科执业范围的科室）出具的出院记录(记载病情和治疗方案）和诊断证明（加盖医疗机构公章）≥1次；或门诊诊疗记录（记载病情和治疗方案）每月1次连续6月以上。</w:t>
            </w:r>
          </w:p>
        </w:tc>
      </w:tr>
      <w:tr>
        <w:tblPrEx>
          <w:tblCellMar>
            <w:top w:w="0" w:type="dxa"/>
            <w:left w:w="108" w:type="dxa"/>
            <w:bottom w:w="0" w:type="dxa"/>
            <w:right w:w="108" w:type="dxa"/>
          </w:tblCellMar>
        </w:tblPrEx>
        <w:trPr>
          <w:trHeight w:val="91"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r>
      <w:tr>
        <w:tblPrEx>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心境稳定剂</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抗帕金森氏病药</w:t>
            </w:r>
          </w:p>
        </w:tc>
      </w:tr>
      <w:tr>
        <w:tblPrEx>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69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80"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 xml:space="preserve"> 常规心电图检查 </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restart"/>
            <w:tcBorders>
              <w:top w:val="nil"/>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药物浓度</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250304013.a0</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微量元素测定(锂测定)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nil"/>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204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6.</w:t>
      </w:r>
      <w:r>
        <w:rPr>
          <w:rFonts w:ascii="Times New Roman" w:hAnsi="Times New Roman" w:eastAsia="黑体"/>
          <w:color w:val="000000" w:themeColor="text1"/>
          <w:sz w:val="30"/>
          <w:szCs w:val="30"/>
          <w14:textFill>
            <w14:solidFill>
              <w14:schemeClr w14:val="tx1"/>
            </w14:solidFill>
          </w14:textFill>
        </w:rPr>
        <w:t>精神发育迟滞伴发精神障碍</w:t>
      </w:r>
    </w:p>
    <w:tbl>
      <w:tblPr>
        <w:tblStyle w:val="4"/>
        <w:tblW w:w="8798" w:type="dxa"/>
        <w:tblInd w:w="93" w:type="dxa"/>
        <w:tblLayout w:type="fixed"/>
        <w:tblCellMar>
          <w:top w:w="0" w:type="dxa"/>
          <w:left w:w="108" w:type="dxa"/>
          <w:bottom w:w="0" w:type="dxa"/>
          <w:right w:w="108" w:type="dxa"/>
        </w:tblCellMar>
      </w:tblPr>
      <w:tblGrid>
        <w:gridCol w:w="801"/>
        <w:gridCol w:w="1067"/>
        <w:gridCol w:w="1295"/>
        <w:gridCol w:w="1660"/>
        <w:gridCol w:w="3975"/>
      </w:tblGrid>
      <w:tr>
        <w:tblPrEx>
          <w:tblCellMar>
            <w:top w:w="0" w:type="dxa"/>
            <w:left w:w="108" w:type="dxa"/>
            <w:bottom w:w="0" w:type="dxa"/>
            <w:right w:w="108" w:type="dxa"/>
          </w:tblCellMar>
        </w:tblPrEx>
        <w:trPr>
          <w:trHeight w:val="91"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精神发育迟滞伴发精神障碍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F70.000x001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F70.900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轻度精神发育迟缓，未提及行为缺陷的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F71.000x001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中度精神发育迟缓，其他的行为缺陷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中度精神发育迟缓，其他的行为缺陷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中度精神发育迟缓，其他的行为缺陷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F71.900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中度精神发育迟缓，未提及行为缺陷的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F72.000x001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F72.900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重度精神发育迟缓，未提及行为缺陷的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F73.000x001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极重度精神发育迟缓，其他行为缺陷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F73.900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极重度精神发育迟缓，未提及行为缺陷的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F78.000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其他的精神发育迟缓，无或轻微行为缺陷的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F78.100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F78.800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其他精神发育迟缓，其他行为缺陷的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F78.800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其他精神发育迟缓，其他行为缺陷的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F78.800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其他精神发育迟缓，其他行为缺陷的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F78.900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精神发育迟缓其他的，未提及行为缺陷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F79.000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F79.000x001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精神发育迟滞</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F79.000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精神发育迟缓，无或轻微行为缺陷的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F79.100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F79.100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F79.100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精神发育迟缓，需要加以关注或治疗的显著行为缺陷</w:t>
            </w:r>
          </w:p>
        </w:tc>
      </w:tr>
      <w:tr>
        <w:tblPrEx>
          <w:tblCellMar>
            <w:top w:w="0" w:type="dxa"/>
            <w:left w:w="108" w:type="dxa"/>
            <w:bottom w:w="0" w:type="dxa"/>
            <w:right w:w="108" w:type="dxa"/>
          </w:tblCellMar>
        </w:tblPrEx>
        <w:trPr>
          <w:trHeight w:val="91"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1.符合《CCMD-3中国精神障碍分类与诊断标准（第三版）》精神发育迟滞的诊断标准。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 xml:space="preserve">（1）智力比正常人同龄人显著低下，标准智力测评的智商&lt;70。 </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（2）社会适应能力较相同文化背景的同龄人低下。</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（3）起源于18岁以前。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（4）部分病人有某些特殊的体态、面容、躯体疾病以及神经系统体征。</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2.伴发精神障碍，需至少符合下列一项：①精神病性症状：约4%~6%的患者出现，一般症状较单调，思维和妄想内容贫乏。②行为障碍：多动、冲动、自伤等，有的表现刻板、 无目的行为，有的表现本能意向亢进。③心境障碍：可表现为抑郁或躁狂发作，但患者很难准确表达心境变化。</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3.有相关病史资料。精神专科医院或综合医院精神科（具有精神科执业范围的科室）出具的出院记录(记载病情和治疗方案）和诊断证明（加盖医疗机构公章）≥1次；或门诊诊疗记录（记载病情和治疗方案）每月1次连续6月以上。</w:t>
            </w:r>
          </w:p>
        </w:tc>
      </w:tr>
      <w:tr>
        <w:tblPrEx>
          <w:tblCellMar>
            <w:top w:w="0" w:type="dxa"/>
            <w:left w:w="108" w:type="dxa"/>
            <w:bottom w:w="0" w:type="dxa"/>
            <w:right w:w="108" w:type="dxa"/>
          </w:tblCellMar>
        </w:tblPrEx>
        <w:trPr>
          <w:trHeight w:val="91"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治疗伴发的精神症状所需要的精神类药物</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心境稳定剂</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上述药物引起不良反应的对症治疗药物</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XN04A</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治疗功能性胃肠道疾病的药物</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XA03B</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单方颠茄及其衍生物</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药物浓度</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250304013.a0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微量元素测定(锂测定)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7.</w:t>
      </w:r>
      <w:r>
        <w:rPr>
          <w:rFonts w:ascii="Times New Roman" w:hAnsi="Times New Roman" w:eastAsia="黑体"/>
          <w:color w:val="000000" w:themeColor="text1"/>
          <w:sz w:val="30"/>
          <w:szCs w:val="30"/>
          <w14:textFill>
            <w14:solidFill>
              <w14:schemeClr w14:val="tx1"/>
            </w14:solidFill>
          </w14:textFill>
        </w:rPr>
        <w:t>焦虑症</w:t>
      </w:r>
    </w:p>
    <w:tbl>
      <w:tblPr>
        <w:tblStyle w:val="4"/>
        <w:tblW w:w="8691" w:type="dxa"/>
        <w:tblInd w:w="93" w:type="dxa"/>
        <w:tblLayout w:type="fixed"/>
        <w:tblCellMar>
          <w:top w:w="0" w:type="dxa"/>
          <w:left w:w="108" w:type="dxa"/>
          <w:bottom w:w="0" w:type="dxa"/>
          <w:right w:w="108" w:type="dxa"/>
        </w:tblCellMar>
      </w:tblPr>
      <w:tblGrid>
        <w:gridCol w:w="818"/>
        <w:gridCol w:w="1365"/>
        <w:gridCol w:w="1604"/>
        <w:gridCol w:w="2040"/>
        <w:gridCol w:w="2864"/>
      </w:tblGrid>
      <w:tr>
        <w:tblPrEx>
          <w:tblCellMar>
            <w:top w:w="0" w:type="dxa"/>
            <w:left w:w="108" w:type="dxa"/>
            <w:bottom w:w="0" w:type="dxa"/>
            <w:right w:w="108" w:type="dxa"/>
          </w:tblCellMar>
        </w:tblPrEx>
        <w:trPr>
          <w:trHeight w:val="91"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焦虑症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F41.0</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惊恐障碍〔间歇发作性焦虑〕</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F41.1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广泛性焦虑障碍</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F41.2</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混合性焦虑和抑郁障碍</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F41.3</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其他混合性焦虑障碍</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F41.8</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其他特定的焦虑障碍</w:t>
            </w:r>
          </w:p>
        </w:tc>
      </w:tr>
      <w:tr>
        <w:tblPrEx>
          <w:tblCellMar>
            <w:top w:w="0" w:type="dxa"/>
            <w:left w:w="108" w:type="dxa"/>
            <w:bottom w:w="0" w:type="dxa"/>
            <w:right w:w="108" w:type="dxa"/>
          </w:tblCellMar>
        </w:tblPrEx>
        <w:trPr>
          <w:trHeight w:val="91"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8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1.符合《ICD—10国际疾病分类与诊断标准（第十版）-精神与行为障碍》中关于其他焦虑症（F41）的诊断标准。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焦虑的表现是本类障碍的主要症状，且并不局限于任何特定的外部情境,可同时存在抑郁和强迫症状，甚至存在某些恐怖性焦虑的要素,但这些症状必须显然是继发的或不太严重。包括惊恐障碍〔间歇发作性焦虑〕（F41.0）、广泛性焦虑障碍（F41.1）、混合性焦虑和抑郁障碍（F41.2）、其他混合性焦虑障碍（F41.3）、其他特定的焦虑障碍（F41.8）。</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有相关病史资料。精神专科医院或综合医院精神科（具有精神科执业范围的科室）出具的出院记录(记载病情和治疗方案）和诊断证明（加盖医疗机构公章）≥1次；或门诊诊疗记录（记载病情和治疗方案）每月1次连续12月以上。</w:t>
            </w:r>
          </w:p>
        </w:tc>
      </w:tr>
      <w:tr>
        <w:tblPrEx>
          <w:tblCellMar>
            <w:top w:w="0" w:type="dxa"/>
            <w:left w:w="108" w:type="dxa"/>
            <w:bottom w:w="0" w:type="dxa"/>
            <w:right w:w="108" w:type="dxa"/>
          </w:tblCellMar>
        </w:tblPrEx>
        <w:trPr>
          <w:trHeight w:val="91"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抗精神病药物、抗抑郁药、抗焦虑药</w:t>
            </w:r>
          </w:p>
        </w:tc>
        <w:tc>
          <w:tcPr>
            <w:tcW w:w="1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XN05AH</w:t>
            </w:r>
          </w:p>
        </w:tc>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二氮卓类、去甲羟二氮卓类和硫氮杂卓类</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XN05AX</w:t>
            </w:r>
          </w:p>
        </w:tc>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其他抗精神病药</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镇静药</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物理治疗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重复经颅磁刺激治疗（医保基金支付不超过30次/年，每次30分钟）</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311503031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经颅磁刺激治疗</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28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8.</w:t>
      </w:r>
      <w:r>
        <w:rPr>
          <w:rFonts w:ascii="Times New Roman" w:hAnsi="Times New Roman" w:eastAsia="黑体"/>
          <w:color w:val="000000" w:themeColor="text1"/>
          <w:sz w:val="30"/>
          <w:szCs w:val="30"/>
          <w14:textFill>
            <w14:solidFill>
              <w14:schemeClr w14:val="tx1"/>
            </w14:solidFill>
          </w14:textFill>
        </w:rPr>
        <w:t>强迫症</w:t>
      </w:r>
    </w:p>
    <w:tbl>
      <w:tblPr>
        <w:tblStyle w:val="4"/>
        <w:tblW w:w="8691" w:type="dxa"/>
        <w:tblInd w:w="93" w:type="dxa"/>
        <w:tblLayout w:type="fixed"/>
        <w:tblCellMar>
          <w:top w:w="0" w:type="dxa"/>
          <w:left w:w="108" w:type="dxa"/>
          <w:bottom w:w="0" w:type="dxa"/>
          <w:right w:w="108" w:type="dxa"/>
        </w:tblCellMar>
      </w:tblPr>
      <w:tblGrid>
        <w:gridCol w:w="758"/>
        <w:gridCol w:w="1800"/>
        <w:gridCol w:w="1770"/>
        <w:gridCol w:w="1949"/>
        <w:gridCol w:w="2414"/>
      </w:tblGrid>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强迫症</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F42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强迫性障碍</w:t>
            </w:r>
          </w:p>
        </w:tc>
      </w:tr>
      <w:tr>
        <w:tblPrEx>
          <w:tblCellMar>
            <w:top w:w="0" w:type="dxa"/>
            <w:left w:w="108" w:type="dxa"/>
            <w:bottom w:w="0" w:type="dxa"/>
            <w:right w:w="108" w:type="dxa"/>
          </w:tblCellMar>
        </w:tblPrEx>
        <w:trPr>
          <w:trHeight w:val="91"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1.符合《ICD—10国际疾病分类与诊断标准（第十版）-精神与行为障碍》中关于强迫性障碍（F42）的诊断标准。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由于抑郁障碍与强迫障碍经常同时存在，两者的鉴别可能很困难。对于急性发作的障碍，优先考虑首先出现的症状，如果两组症状都存在且都不占优势,一般最好将抑郁视为原发。对于慢性障碍,单独存在的那组症状中出现最频繁的应作为优先考虑的诊断。</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要作出肯定诊断，必须在连续两周中的大多数日子里存在强迫症或强迫动作，或两者并存。这些症状引起痛苦或妨碍活动。强迫症状具备以下特点:</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(a)必须被看作是患者自己的思维或冲动;</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(b)必须至少有一种思想或动作仍在被患者徒劳地加以抵制，即患者不再对其它症状加以抵制;</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(c)实施动作的想法本身应该是令人不愉快的(单纯为缓解紧张或虑不视为这种意义上的愉快);</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(d)想法、表象或冲动必须是令人不快地一再出现包含:强迫性(anankastic)神经症；强迫神经症；强迫-强制神经症。</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 有相关病史资料。精神专科医院或综合医院精神科（具有精神科执业范围的科室）出具的出院记录(记载病情和治疗方案）和诊断证明（加盖医疗机构公章）≥1次；或门诊诊疗记录（记载病情和治疗方案）每月1次连续12月以上。</w:t>
            </w:r>
          </w:p>
        </w:tc>
      </w:tr>
      <w:tr>
        <w:tblPrEx>
          <w:tblCellMar>
            <w:top w:w="0" w:type="dxa"/>
            <w:left w:w="108" w:type="dxa"/>
            <w:bottom w:w="0" w:type="dxa"/>
            <w:right w:w="108" w:type="dxa"/>
          </w:tblCellMar>
        </w:tblPrEx>
        <w:trPr>
          <w:trHeight w:val="9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24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抗精神病药物，抗抑郁药物，心境稳定剂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镇静药</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上述药物引起不良反应的对症治疗药物</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抗帕金森氏病药</w:t>
            </w:r>
          </w:p>
        </w:tc>
      </w:tr>
      <w:tr>
        <w:tblPrEx>
          <w:tblCellMar>
            <w:top w:w="0" w:type="dxa"/>
            <w:left w:w="108" w:type="dxa"/>
            <w:bottom w:w="0" w:type="dxa"/>
            <w:right w:w="108" w:type="dxa"/>
          </w:tblCellMar>
        </w:tblPrEx>
        <w:trPr>
          <w:trHeight w:val="91" w:hRule="atLeast"/>
        </w:trPr>
        <w:tc>
          <w:tcPr>
            <w:tcW w:w="75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80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7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β-受体阻滞剂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7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357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4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物理治疗</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重复经颅磁刺激治疗（医保基金支付不超过30次/年，每次30分钟）</w:t>
            </w:r>
          </w:p>
        </w:tc>
        <w:tc>
          <w:tcPr>
            <w:tcW w:w="194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311503031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经颅磁刺激治疗</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MECT治疗（医保基金支付不超过12次/年）</w:t>
            </w:r>
          </w:p>
        </w:tc>
        <w:tc>
          <w:tcPr>
            <w:tcW w:w="194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311503005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多参数监护无抽搐电休克治疗</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nil"/>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58" w:type="dxa"/>
            <w:vMerge w:val="continue"/>
            <w:tcBorders>
              <w:top w:val="nil"/>
              <w:left w:val="single" w:color="auto" w:sz="4" w:space="0"/>
              <w:bottom w:val="single" w:color="auto" w:sz="4" w:space="0"/>
              <w:right w:val="single" w:color="000000"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000000" w:sz="4" w:space="0"/>
              <w:left w:val="single" w:color="000000" w:sz="4" w:space="0"/>
              <w:bottom w:val="single" w:color="auto"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2414" w:type="dxa"/>
            <w:tcBorders>
              <w:top w:val="single" w:color="000000" w:sz="4" w:space="0"/>
              <w:left w:val="single" w:color="000000" w:sz="4" w:space="0"/>
              <w:bottom w:val="single" w:color="auto"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49"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9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视觉电位+N400检查（医保基金支付不超过2次/年）</w:t>
            </w:r>
          </w:p>
        </w:tc>
        <w:tc>
          <w:tcPr>
            <w:tcW w:w="19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310100011</w:t>
            </w:r>
          </w:p>
        </w:tc>
        <w:tc>
          <w:tcPr>
            <w:tcW w:w="241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事件相关电位</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眼动检查（医保基金支付不超过2次/年）</w:t>
            </w:r>
          </w:p>
        </w:tc>
        <w:tc>
          <w:tcPr>
            <w:tcW w:w="19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311502002</w:t>
            </w:r>
          </w:p>
        </w:tc>
        <w:tc>
          <w:tcPr>
            <w:tcW w:w="241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9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357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r>
        <w:rPr>
          <w:rFonts w:ascii="Times New Roman" w:hAnsi="Times New Roman"/>
          <w:color w:val="000000" w:themeColor="text1"/>
          <w:sz w:val="30"/>
          <w:szCs w:val="30"/>
          <w14:textFill>
            <w14:solidFill>
              <w14:schemeClr w14:val="tx1"/>
            </w14:solidFill>
          </w14:textFill>
        </w:rPr>
        <w:br w:type="page"/>
      </w:r>
    </w:p>
    <w:p>
      <w:pPr>
        <w:tabs>
          <w:tab w:val="left" w:pos="737"/>
        </w:tabs>
        <w:spacing w:line="340" w:lineRule="exact"/>
        <w:rPr>
          <w:rFonts w:ascii="Times New Roman" w:hAnsi="Times New Roman"/>
          <w:color w:val="000000" w:themeColor="text1"/>
          <w:sz w:val="30"/>
          <w:szCs w:val="30"/>
          <w14:textFill>
            <w14:solidFill>
              <w14:schemeClr w14:val="tx1"/>
            </w14:solidFill>
          </w14:textFill>
        </w:rPr>
      </w:pPr>
      <w:r>
        <w:rPr>
          <w:rFonts w:hint="eastAsia" w:ascii="Times New Roman" w:hAnsi="Times New Roman"/>
          <w:color w:val="000000" w:themeColor="text1"/>
          <w:sz w:val="30"/>
          <w:szCs w:val="30"/>
          <w14:textFill>
            <w14:solidFill>
              <w14:schemeClr w14:val="tx1"/>
            </w14:solidFill>
          </w14:textFill>
        </w:rPr>
        <w:t>3</w:t>
      </w:r>
      <w:r>
        <w:rPr>
          <w:rFonts w:ascii="Times New Roman" w:hAnsi="Times New Roman"/>
          <w:color w:val="000000" w:themeColor="text1"/>
          <w:sz w:val="30"/>
          <w:szCs w:val="30"/>
          <w14:textFill>
            <w14:solidFill>
              <w14:schemeClr w14:val="tx1"/>
            </w14:solidFill>
          </w14:textFill>
        </w:rPr>
        <w:t>9.</w:t>
      </w:r>
      <w:r>
        <w:rPr>
          <w:rFonts w:ascii="Times New Roman" w:hAnsi="Times New Roman" w:eastAsia="黑体"/>
          <w:color w:val="000000" w:themeColor="text1"/>
          <w:sz w:val="30"/>
          <w:szCs w:val="30"/>
          <w14:textFill>
            <w14:solidFill>
              <w14:schemeClr w14:val="tx1"/>
            </w14:solidFill>
          </w14:textFill>
        </w:rPr>
        <w:t>抑郁症</w:t>
      </w:r>
    </w:p>
    <w:tbl>
      <w:tblPr>
        <w:tblStyle w:val="4"/>
        <w:tblW w:w="8691" w:type="dxa"/>
        <w:tblInd w:w="93" w:type="dxa"/>
        <w:tblLayout w:type="fixed"/>
        <w:tblCellMar>
          <w:top w:w="0" w:type="dxa"/>
          <w:left w:w="108" w:type="dxa"/>
          <w:bottom w:w="0" w:type="dxa"/>
          <w:right w:w="108" w:type="dxa"/>
        </w:tblCellMar>
      </w:tblPr>
      <w:tblGrid>
        <w:gridCol w:w="728"/>
        <w:gridCol w:w="1185"/>
        <w:gridCol w:w="1250"/>
        <w:gridCol w:w="1915"/>
        <w:gridCol w:w="3613"/>
      </w:tblGrid>
      <w:tr>
        <w:tblPrEx>
          <w:tblCellMar>
            <w:top w:w="0" w:type="dxa"/>
            <w:left w:w="108" w:type="dxa"/>
            <w:bottom w:w="0" w:type="dxa"/>
            <w:right w:w="108" w:type="dxa"/>
          </w:tblCellMar>
        </w:tblPrEx>
        <w:trPr>
          <w:trHeight w:val="91"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病种名称</w:t>
            </w: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特病病种名称</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诊断编码</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诊断名称</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抑郁症</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F32.000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轻度抑郁发作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F32.000x002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不伴有躯体症状的轻度抑郁发作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F32.000x011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伴有躯体症状的轻度抑郁发作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F32.100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中度抑郁发作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F32.100x002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不伴有躯体症状的中度抑郁发作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F32.100x011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伴有躯体症状的中度抑郁发作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F32.200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不伴有精神病性症状的重度抑郁发作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F32.300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伴有精神病性症状的重度抑郁发作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F32.301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抑郁性精神病</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F32.800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抑郁发作，其他的</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F32.800x001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抑郁性木僵</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F32.800x002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难治性抑郁症</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F32.801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更年期抑郁症</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F32.802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非典型抑郁症</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F32.900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抑郁发作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F33.000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复发性抑郁障碍，目前为轻度发作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F33.000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复发性抑郁障碍，目前为轻度发作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F33.000x002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复发性抑郁障碍,目前为伴有躯体症状的轻度发作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F33.000x011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复发性抑郁障碍,目前为不伴有躯体症状的轻度发作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F33.100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复发性抑郁障碍，目前为中度发作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F33.100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复发性抑郁障碍，目前为中度发作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F33.100x002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复发性抑郁障碍,目前为伴有躯体症状的中度发作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F33.100x011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复发性抑郁障碍,目前为不伴有躯体症状的中度发作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F33.200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复发性抑郁障碍，目前为不伴有精神病性症状的重度发作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F33.200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复发性抑郁障碍，目前为不伴有精神病性症状的重度发作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F33.300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复发性抑郁障碍，目前为伴有精神病性症状的重度发作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F33.300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复发性抑郁障碍，目前为伴有精神病性症状的重度发作</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F33.400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复发性抑郁障碍，目前为缓解状态</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F33.400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复发性抑郁障碍，目前为缓解状态</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F33.800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复发性抑郁障碍，其他的</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F33.900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复发性抑郁障碍</w:t>
            </w:r>
          </w:p>
        </w:tc>
      </w:tr>
      <w:tr>
        <w:tblPrEx>
          <w:tblCellMar>
            <w:top w:w="0" w:type="dxa"/>
            <w:left w:w="108" w:type="dxa"/>
            <w:bottom w:w="0" w:type="dxa"/>
            <w:right w:w="108" w:type="dxa"/>
          </w:tblCellMar>
        </w:tblPrEx>
        <w:trPr>
          <w:trHeight w:val="91"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诊断标准</w:t>
            </w:r>
          </w:p>
        </w:tc>
        <w:tc>
          <w:tcPr>
            <w:tcW w:w="79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1.符合《ICD—10国际疾病分类与诊断标准（第十版）-精神与行为障碍》中相关心境障碍（F32-F33抑郁症）的诊断标准。</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（1）抑郁发作：</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有以下三种不同形式的抑郁发作:轻度(F32.0)、中度(F32.1)、重度(F32.2)和(F32.3)。各种形式的典型发作中，病人通常有心境低落、兴趣和愉快感丧失，导致劳累感增加和活动减少的精力降低。也很常见的症状还有稍作事情即觉明显的倦息。其它常见症状是:</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（a）集中注意和注意的能力降低;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（b）自我评价和自信降低;</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（c）自罪观念和无价值感(即使在轻度发作中也有);</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（d）认为前途暗淡悲观;</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（e）自伤或自杀的观念或行为;</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（f）睡眠障碍;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（g）食欲下降。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（2）复发性抑郁障碍</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本障碍的特点是反复出现抑郁发作〔轻度(F32.0)、中度(F321)、重度(F32.2和F32.3)〕中所标明的抑郁发作历史，不存在符合躁狂(F30.1和F30.2)标准的心境高涨和活动过度的独立发作。然而，如果紧接在抑郁之后出现短暂的符合轻躁狂标准(F30.0)的轻度心境高涨和活动增加(有时显然是由抗抑郁剂治疗所诱发)，仍应使用本类别。抑郁发作的起病年龄、严重程度、持续时间、发作频率等均无固定规律一般而言，初次发作晚于双相障碍，平均起病年龄为40-49岁。每次发作同样持续3-12个月(中数约6个月)，但复发频率低些。发作间期一般缓解完全，但少数病人可发展为持续性抑郁，主要见于老年(这种情况仍用本类别)。不同严重程度的一次发作一般都是由应激性生活事件诱发。</w:t>
            </w:r>
            <w:r>
              <w:rPr>
                <w:rFonts w:ascii="Times New Roman" w:hAnsi="Times New Roman" w:eastAsia="方正仿宋_GBK" w:cs="方正仿宋_GBK"/>
                <w:color w:val="000000" w:themeColor="text1"/>
                <w:kern w:val="0"/>
                <w:szCs w:val="21"/>
                <w:lang w:bidi="ar"/>
                <w14:textFill>
                  <w14:solidFill>
                    <w14:schemeClr w14:val="tx1"/>
                  </w14:solidFill>
                </w14:textFill>
              </w:rPr>
              <w:br w:type="textWrapping"/>
            </w:r>
            <w:r>
              <w:rPr>
                <w:rFonts w:ascii="Times New Roman" w:hAnsi="Times New Roman" w:eastAsia="方正仿宋_GBK" w:cs="方正仿宋_GBK"/>
                <w:color w:val="000000" w:themeColor="text1"/>
                <w:kern w:val="0"/>
                <w:szCs w:val="21"/>
                <w:lang w:bidi="ar"/>
                <w14:textFill>
                  <w14:solidFill>
                    <w14:schemeClr w14:val="tx1"/>
                  </w14:solidFill>
                </w14:textFill>
              </w:rPr>
              <w:t>2.有相关病史资料。精神专科医院或综合医院精神科（具有精神科执业范围的科室）出具的出院记录(记载病情和治疗方案）和诊断证明（加盖医疗机构公章）≥1次；或门诊诊疗记录（记载病情和治疗方案）每月1次连续6月以上。</w:t>
            </w:r>
          </w:p>
        </w:tc>
      </w:tr>
      <w:tr>
        <w:tblPrEx>
          <w:tblCellMar>
            <w:top w:w="0" w:type="dxa"/>
            <w:left w:w="108" w:type="dxa"/>
            <w:bottom w:w="0" w:type="dxa"/>
            <w:right w:w="108" w:type="dxa"/>
          </w:tblCellMar>
        </w:tblPrEx>
        <w:trPr>
          <w:trHeight w:val="91"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药品类别</w:t>
            </w: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医保目录药品分类代码</w:t>
            </w:r>
          </w:p>
        </w:tc>
        <w:tc>
          <w:tcPr>
            <w:tcW w:w="36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医保目录药品分类名称</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抗精神病药物</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XN05A</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抗精神病药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抗抑郁药、抗焦虑药、心境稳定剂</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抗抑郁药物</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XN06A</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抗抑郁药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XN03A</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抗癫痫药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镇静药</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XN05C</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催眠药和镇静药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抗焦虑药物</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XN05B</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抗焦虑药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ascii="Times New Roman" w:hAnsi="Times New Roman" w:eastAsia="方正仿宋_GBK" w:cs="方正仿宋_GBK"/>
                <w:color w:val="000000" w:themeColor="text1"/>
                <w:szCs w:val="21"/>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甲状腺制剂</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XH03A</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甲状腺制剂</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上述药物引起不良反应的对症治疗药物</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抗帕金森类药物</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XN04A</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抗胆碱能药</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治疗功能性胃肠道疾病的药物</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XA03B</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单方颠茄及其衍生物</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XC07AA</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非选择性β-受体阻滞剂</w:t>
            </w:r>
          </w:p>
        </w:tc>
      </w:tr>
      <w:tr>
        <w:tblPrEx>
          <w:tblCellMar>
            <w:top w:w="0" w:type="dxa"/>
            <w:left w:w="108" w:type="dxa"/>
            <w:bottom w:w="0" w:type="dxa"/>
            <w:right w:w="108" w:type="dxa"/>
          </w:tblCellMar>
        </w:tblPrEx>
        <w:trPr>
          <w:trHeight w:val="91"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40" w:lineRule="exact"/>
              <w:jc w:val="center"/>
              <w:textAlignment w:val="center"/>
              <w:rPr>
                <w:rFonts w:hint="eastAsia" w:ascii="Times New Roman" w:hAnsi="Times New Roman" w:eastAsia="方正黑体_GBK" w:cs="方正黑体_GBK"/>
                <w:color w:val="000000" w:themeColor="text1"/>
                <w:szCs w:val="21"/>
                <w:lang w:eastAsia="zh-CN"/>
                <w14:textFill>
                  <w14:solidFill>
                    <w14:schemeClr w14:val="tx1"/>
                  </w14:solidFill>
                </w14:textFill>
              </w:rPr>
            </w:pPr>
            <w:r>
              <w:rPr>
                <w:rFonts w:hint="eastAsia" w:ascii="Times New Roman" w:hAnsi="Times New Roman" w:eastAsia="方正黑体_GBK" w:cs="方正黑体_GBK"/>
                <w:color w:val="000000" w:themeColor="text1"/>
                <w:kern w:val="0"/>
                <w:szCs w:val="21"/>
                <w:lang w:eastAsia="zh-CN" w:bidi="ar"/>
                <w14:textFill>
                  <w14:solidFill>
                    <w14:schemeClr w14:val="tx1"/>
                  </w14:solidFill>
                </w14:textFill>
              </w:rPr>
              <w:t>诊疗项目</w:t>
            </w: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医保报销范围</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医保目录医疗服务项目编码</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center"/>
              <w:textAlignment w:val="center"/>
              <w:rPr>
                <w:rFonts w:ascii="Times New Roman" w:hAnsi="Times New Roman" w:eastAsia="方正黑体_GBK" w:cs="方正黑体_GBK"/>
                <w:color w:val="000000" w:themeColor="text1"/>
                <w:szCs w:val="21"/>
                <w14:textFill>
                  <w14:solidFill>
                    <w14:schemeClr w14:val="tx1"/>
                  </w14:solidFill>
                </w14:textFill>
              </w:rPr>
            </w:pPr>
            <w:r>
              <w:rPr>
                <w:rFonts w:hint="eastAsia" w:ascii="Times New Roman" w:hAnsi="Times New Roman" w:eastAsia="方正黑体_GBK" w:cs="方正黑体_GBK"/>
                <w:color w:val="000000" w:themeColor="text1"/>
                <w:kern w:val="0"/>
                <w:szCs w:val="21"/>
                <w:lang w:bidi="ar"/>
                <w14:textFill>
                  <w14:solidFill>
                    <w14:schemeClr w14:val="tx1"/>
                  </w14:solidFill>
                </w14:textFill>
              </w:rPr>
              <w:t>医保目录医疗服务项目名称</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物理治疗</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重复经颅磁刺激治疗（医保基金支付不超过30次/年，每次30分钟）</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311503031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经颅磁刺激治疗</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MECT治疗（医保基金支付不超过12次/年）</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311503005</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多参数监护无抽搐电休克治疗</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血常规</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250101015</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血细胞分析</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血脂</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血清总胆固醇测定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血清甘油三酯测定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250303004</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血清高密度脂蛋白胆固醇测定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250303005</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血清低密度脂蛋白胆固醇测定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血糖</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250302001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葡萄糖测定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泌乳素</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血清泌乳素测定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甲状腺功能（医保基金支付不超过4次/年）</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血清促甲状腺激素测定(TSH)</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血清甲状腺素(T4)测定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血清三碘甲状原氨酸(T3)测定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250310013</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血清游离甲状腺素(FT4)测定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250310014</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血清游离三碘甲状原氨酸(FT3)测定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250304013.a0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微量元素测定(锂测定)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250309005</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血清药物浓度测定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肝功能</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血清总胆红素测定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血清直接胆红素测定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250305003</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血清间接胆红素测定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250305007</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血清丙氨酸氨基转移酶测定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250305008</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血清天门冬氨酸氨基转移酶测定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250305009</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血清γ-谷氨酰基转移酶测定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250305011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血清碱性磷酸酶测定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血清总蛋白测定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250301002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血清白蛋白测定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250306005</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乳酸脱氢酶测定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肾功能</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250307005</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血清尿酸测定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尿素测定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250307002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40" w:lineRule="exact"/>
              <w:jc w:val="left"/>
              <w:textAlignment w:val="bottom"/>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肌酐测定</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心电图</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310701001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常规心电图检查</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脑电图</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310100003</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脑地形图</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310100002.20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特殊脑电图(特殊诱发)</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视觉电位+N400检查（医保基金支付不超过2次/年）</w:t>
            </w:r>
          </w:p>
        </w:tc>
        <w:tc>
          <w:tcPr>
            <w:tcW w:w="19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310100011</w:t>
            </w:r>
          </w:p>
        </w:tc>
        <w:tc>
          <w:tcPr>
            <w:tcW w:w="36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事件相关电位</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眼动检查（医保基金支付不超过2次/年）</w:t>
            </w:r>
          </w:p>
        </w:tc>
        <w:tc>
          <w:tcPr>
            <w:tcW w:w="19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311502002</w:t>
            </w:r>
          </w:p>
        </w:tc>
        <w:tc>
          <w:tcPr>
            <w:tcW w:w="36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眼动检查</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量表（每种量表医保基金支付不超过4次/年）</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011102010010000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临床量表评估（自评）</w:t>
            </w:r>
          </w:p>
        </w:tc>
      </w:tr>
      <w:tr>
        <w:tblPrEx>
          <w:tblCellMar>
            <w:top w:w="0" w:type="dxa"/>
            <w:left w:w="108" w:type="dxa"/>
            <w:bottom w:w="0" w:type="dxa"/>
            <w:right w:w="108" w:type="dxa"/>
          </w:tblCellMar>
        </w:tblPrEx>
        <w:trPr>
          <w:trHeight w:val="91"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40" w:lineRule="exact"/>
              <w:jc w:val="center"/>
              <w:rPr>
                <w:rFonts w:ascii="Times New Roman" w:hAnsi="Times New Roman" w:eastAsia="方正黑体_GBK" w:cs="方正黑体_GBK"/>
                <w:color w:val="000000" w:themeColor="text1"/>
                <w:szCs w:val="21"/>
                <w14:textFill>
                  <w14:solidFill>
                    <w14:schemeClr w14:val="tx1"/>
                  </w14:solidFill>
                </w14:textFill>
              </w:rPr>
            </w:pPr>
          </w:p>
        </w:tc>
        <w:tc>
          <w:tcPr>
            <w:tcW w:w="24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011102010020000</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ascii="Times New Roman" w:hAnsi="Times New Roman" w:eastAsia="方正仿宋_GBK" w:cs="方正仿宋_GBK"/>
                <w:color w:val="000000" w:themeColor="text1"/>
                <w:kern w:val="0"/>
                <w:szCs w:val="21"/>
                <w:lang w:bidi="ar"/>
                <w14:textFill>
                  <w14:solidFill>
                    <w14:schemeClr w14:val="tx1"/>
                  </w14:solidFill>
                </w14:textFill>
              </w:rPr>
              <w:t>临床量表评估（他评）</w:t>
            </w:r>
          </w:p>
        </w:tc>
      </w:tr>
    </w:tbl>
    <w:p>
      <w:pPr>
        <w:spacing w:line="340" w:lineRule="exact"/>
        <w:rPr>
          <w:rFonts w:ascii="Times New Roman" w:hAnsi="Times New Roman"/>
          <w:color w:val="000000" w:themeColor="text1"/>
          <w:sz w:val="30"/>
          <w:szCs w:val="30"/>
          <w14:textFill>
            <w14:solidFill>
              <w14:schemeClr w14:val="tx1"/>
            </w14:solidFill>
          </w14:textFill>
        </w:rPr>
      </w:pPr>
    </w:p>
    <w:p>
      <w:pPr>
        <w:spacing w:line="340" w:lineRule="exact"/>
        <w:rPr>
          <w:rFonts w:ascii="Times New Roman" w:hAnsi="Times New Roman"/>
          <w:color w:val="000000" w:themeColor="text1"/>
          <w:sz w:val="30"/>
          <w:szCs w:val="30"/>
          <w14:textFill>
            <w14:solidFill>
              <w14:schemeClr w14:val="tx1"/>
            </w14:solidFill>
          </w14:textFill>
        </w:rPr>
      </w:pPr>
    </w:p>
    <w:sectPr>
      <w:footerReference r:id="rId8" w:type="default"/>
      <w:pgSz w:w="11906" w:h="16838"/>
      <w:pgMar w:top="2098" w:right="1474" w:bottom="1985" w:left="158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5485414"/>
      <w:docPartObj>
        <w:docPartGallery w:val="autotext"/>
      </w:docPartObj>
    </w:sdtPr>
    <w:sdtEndPr>
      <w:rPr>
        <w:rStyle w:val="6"/>
      </w:rPr>
    </w:sdtEndPr>
    <w:sdtContent>
      <w:p>
        <w:pPr>
          <w:pStyle w:val="2"/>
          <w:framePr w:wrap="around" w:vAnchor="text" w:hAnchor="margin" w:xAlign="center" w:y="1"/>
          <w:rPr>
            <w:rStyle w:val="6"/>
          </w:rPr>
        </w:pPr>
        <w:r>
          <w:rPr>
            <w:rStyle w:val="6"/>
          </w:rPr>
          <w:fldChar w:fldCharType="begin"/>
        </w:r>
        <w:r>
          <w:rPr>
            <w:rStyle w:val="6"/>
          </w:rPr>
          <w:instrText xml:space="preserve"> PAGE </w:instrText>
        </w:r>
        <w:r>
          <w:rPr>
            <w:rStyle w:val="6"/>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rPr>
                        <w:rFonts w:hint="eastAsi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hideGrammaticalErrors/>
  <w:documentProtection w:edit="readOnly" w:enforcement="1" w:cryptProviderType="rsaFull" w:cryptAlgorithmClass="hash" w:cryptAlgorithmType="typeAny" w:cryptAlgorithmSid="4" w:cryptSpinCount="0" w:hash="HNYhZwBBqEdvukD8nXtvb4WmMbE=" w:salt="3/A2YjUr+1nK08L1GNkvKw=="/>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DD42EB"/>
    <w:rsid w:val="00250E79"/>
    <w:rsid w:val="00262754"/>
    <w:rsid w:val="002947A6"/>
    <w:rsid w:val="005015A0"/>
    <w:rsid w:val="0063482B"/>
    <w:rsid w:val="00852C3A"/>
    <w:rsid w:val="00916B70"/>
    <w:rsid w:val="009A730C"/>
    <w:rsid w:val="009E3362"/>
    <w:rsid w:val="00D033BA"/>
    <w:rsid w:val="00D048F1"/>
    <w:rsid w:val="00D34322"/>
    <w:rsid w:val="00E6095D"/>
    <w:rsid w:val="00E60F6A"/>
    <w:rsid w:val="00F02661"/>
    <w:rsid w:val="00FD775B"/>
    <w:rsid w:val="00FF190B"/>
    <w:rsid w:val="03602F97"/>
    <w:rsid w:val="049A52F6"/>
    <w:rsid w:val="04FA7A94"/>
    <w:rsid w:val="06F10034"/>
    <w:rsid w:val="08211329"/>
    <w:rsid w:val="08966904"/>
    <w:rsid w:val="0CD957A2"/>
    <w:rsid w:val="0D1424ED"/>
    <w:rsid w:val="0F02192F"/>
    <w:rsid w:val="10796E21"/>
    <w:rsid w:val="13422D15"/>
    <w:rsid w:val="154325B1"/>
    <w:rsid w:val="18624A54"/>
    <w:rsid w:val="195341B2"/>
    <w:rsid w:val="199F6B77"/>
    <w:rsid w:val="19B4014C"/>
    <w:rsid w:val="19D35A3A"/>
    <w:rsid w:val="1EFE76AE"/>
    <w:rsid w:val="208B37CD"/>
    <w:rsid w:val="22442EDB"/>
    <w:rsid w:val="23DD42EB"/>
    <w:rsid w:val="291C24B0"/>
    <w:rsid w:val="2F8877C4"/>
    <w:rsid w:val="316258EF"/>
    <w:rsid w:val="33205EA2"/>
    <w:rsid w:val="34623121"/>
    <w:rsid w:val="34C66973"/>
    <w:rsid w:val="35223149"/>
    <w:rsid w:val="35694A98"/>
    <w:rsid w:val="36B24676"/>
    <w:rsid w:val="371E7A83"/>
    <w:rsid w:val="37B065E5"/>
    <w:rsid w:val="3A667F7C"/>
    <w:rsid w:val="3A86459E"/>
    <w:rsid w:val="3AD030D5"/>
    <w:rsid w:val="3B4B1E15"/>
    <w:rsid w:val="3D5A2538"/>
    <w:rsid w:val="3D6E0D11"/>
    <w:rsid w:val="3E7D0370"/>
    <w:rsid w:val="3EE432A4"/>
    <w:rsid w:val="3F7B2102"/>
    <w:rsid w:val="3F9E5AC2"/>
    <w:rsid w:val="3FE47979"/>
    <w:rsid w:val="41C554A5"/>
    <w:rsid w:val="440441A3"/>
    <w:rsid w:val="455C4456"/>
    <w:rsid w:val="45650866"/>
    <w:rsid w:val="45F91CA4"/>
    <w:rsid w:val="461A5919"/>
    <w:rsid w:val="47062F78"/>
    <w:rsid w:val="47847862"/>
    <w:rsid w:val="494C6E4D"/>
    <w:rsid w:val="4A092A83"/>
    <w:rsid w:val="4AB42F1C"/>
    <w:rsid w:val="4AC65A7F"/>
    <w:rsid w:val="4E4C0585"/>
    <w:rsid w:val="504829E4"/>
    <w:rsid w:val="5205201A"/>
    <w:rsid w:val="52513CAC"/>
    <w:rsid w:val="56A21DA4"/>
    <w:rsid w:val="57405109"/>
    <w:rsid w:val="58633B93"/>
    <w:rsid w:val="591C5D9D"/>
    <w:rsid w:val="5C9E4192"/>
    <w:rsid w:val="61073070"/>
    <w:rsid w:val="6269682B"/>
    <w:rsid w:val="63D1494C"/>
    <w:rsid w:val="65B66266"/>
    <w:rsid w:val="66BA7997"/>
    <w:rsid w:val="67F87EA2"/>
    <w:rsid w:val="685C1EF3"/>
    <w:rsid w:val="698E08AB"/>
    <w:rsid w:val="6AB558AA"/>
    <w:rsid w:val="6B2370D5"/>
    <w:rsid w:val="6BAB6F14"/>
    <w:rsid w:val="6FA50623"/>
    <w:rsid w:val="6FD5205C"/>
    <w:rsid w:val="70736458"/>
    <w:rsid w:val="709D12FB"/>
    <w:rsid w:val="70C30115"/>
    <w:rsid w:val="752671C1"/>
    <w:rsid w:val="781F6F8A"/>
    <w:rsid w:val="78830834"/>
    <w:rsid w:val="7892370F"/>
    <w:rsid w:val="7A033C1D"/>
    <w:rsid w:val="7A5501E4"/>
    <w:rsid w:val="7B671D87"/>
    <w:rsid w:val="7BA92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9"/>
    <w:qFormat/>
    <w:uiPriority w:val="0"/>
    <w:pPr>
      <w:tabs>
        <w:tab w:val="center" w:pos="4153"/>
        <w:tab w:val="right" w:pos="8306"/>
      </w:tabs>
      <w:snapToGrid w:val="0"/>
      <w:jc w:val="left"/>
    </w:pPr>
    <w:rPr>
      <w:sz w:val="18"/>
      <w:szCs w:val="18"/>
    </w:rPr>
  </w:style>
  <w:style w:type="paragraph" w:styleId="3">
    <w:name w:val="header"/>
    <w:basedOn w:val="1"/>
    <w:link w:val="18"/>
    <w:qFormat/>
    <w:uiPriority w:val="0"/>
    <w:pP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font21"/>
    <w:basedOn w:val="5"/>
    <w:qFormat/>
    <w:uiPriority w:val="0"/>
    <w:rPr>
      <w:rFonts w:hint="default" w:ascii="方正仿宋_GBK" w:hAnsi="方正仿宋_GBK" w:eastAsia="方正仿宋_GBK" w:cs="方正仿宋_GBK"/>
      <w:color w:val="000000"/>
      <w:sz w:val="24"/>
      <w:szCs w:val="24"/>
      <w:u w:val="none"/>
    </w:rPr>
  </w:style>
  <w:style w:type="character" w:customStyle="1" w:styleId="8">
    <w:name w:val="font41"/>
    <w:basedOn w:val="5"/>
    <w:qFormat/>
    <w:uiPriority w:val="0"/>
    <w:rPr>
      <w:rFonts w:hint="default" w:ascii="方正仿宋_GBK" w:hAnsi="方正仿宋_GBK" w:eastAsia="方正仿宋_GBK" w:cs="方正仿宋_GBK"/>
      <w:color w:val="000000"/>
      <w:sz w:val="24"/>
      <w:szCs w:val="24"/>
      <w:u w:val="none"/>
    </w:rPr>
  </w:style>
  <w:style w:type="character" w:customStyle="1" w:styleId="9">
    <w:name w:val="font51"/>
    <w:basedOn w:val="5"/>
    <w:qFormat/>
    <w:uiPriority w:val="0"/>
    <w:rPr>
      <w:rFonts w:hint="eastAsia" w:ascii="方正黑体_GBK" w:hAnsi="方正黑体_GBK" w:eastAsia="方正黑体_GBK" w:cs="方正黑体_GBK"/>
      <w:b/>
      <w:bCs/>
      <w:color w:val="000000"/>
      <w:sz w:val="24"/>
      <w:szCs w:val="24"/>
      <w:u w:val="none"/>
    </w:rPr>
  </w:style>
  <w:style w:type="character" w:customStyle="1" w:styleId="10">
    <w:name w:val="font31"/>
    <w:basedOn w:val="5"/>
    <w:qFormat/>
    <w:uiPriority w:val="0"/>
    <w:rPr>
      <w:rFonts w:hint="default" w:ascii="方正楷体_GBK" w:hAnsi="方正楷体_GBK" w:eastAsia="方正楷体_GBK" w:cs="方正楷体_GBK"/>
      <w:b/>
      <w:bCs/>
      <w:color w:val="000000"/>
      <w:sz w:val="24"/>
      <w:szCs w:val="24"/>
      <w:u w:val="none"/>
    </w:rPr>
  </w:style>
  <w:style w:type="character" w:customStyle="1" w:styleId="11">
    <w:name w:val="font61"/>
    <w:basedOn w:val="5"/>
    <w:qFormat/>
    <w:uiPriority w:val="0"/>
    <w:rPr>
      <w:rFonts w:ascii="方正书宋_GBK" w:hAnsi="方正书宋_GBK" w:eastAsia="方正书宋_GBK" w:cs="方正书宋_GBK"/>
      <w:color w:val="000000"/>
      <w:sz w:val="24"/>
      <w:szCs w:val="24"/>
      <w:u w:val="none"/>
    </w:rPr>
  </w:style>
  <w:style w:type="character" w:customStyle="1" w:styleId="12">
    <w:name w:val="font11"/>
    <w:basedOn w:val="5"/>
    <w:qFormat/>
    <w:uiPriority w:val="0"/>
    <w:rPr>
      <w:rFonts w:hint="eastAsia" w:ascii="方正黑体_GBK" w:hAnsi="方正黑体_GBK" w:eastAsia="方正黑体_GBK" w:cs="方正黑体_GBK"/>
      <w:color w:val="000000"/>
      <w:sz w:val="24"/>
      <w:szCs w:val="24"/>
      <w:u w:val="none"/>
    </w:rPr>
  </w:style>
  <w:style w:type="character" w:customStyle="1" w:styleId="13">
    <w:name w:val="font71"/>
    <w:basedOn w:val="5"/>
    <w:qFormat/>
    <w:uiPriority w:val="0"/>
    <w:rPr>
      <w:rFonts w:ascii="方正书宋_GBK" w:hAnsi="方正书宋_GBK" w:eastAsia="方正书宋_GBK" w:cs="方正书宋_GBK"/>
      <w:color w:val="000000"/>
      <w:sz w:val="24"/>
      <w:szCs w:val="24"/>
      <w:u w:val="none"/>
    </w:rPr>
  </w:style>
  <w:style w:type="character" w:customStyle="1" w:styleId="14">
    <w:name w:val="font81"/>
    <w:basedOn w:val="5"/>
    <w:qFormat/>
    <w:uiPriority w:val="0"/>
    <w:rPr>
      <w:rFonts w:ascii="Arial" w:hAnsi="Arial" w:cs="Arial"/>
      <w:color w:val="000000"/>
      <w:sz w:val="24"/>
      <w:szCs w:val="24"/>
      <w:u w:val="none"/>
    </w:rPr>
  </w:style>
  <w:style w:type="character" w:customStyle="1" w:styleId="15">
    <w:name w:val="font101"/>
    <w:basedOn w:val="5"/>
    <w:qFormat/>
    <w:uiPriority w:val="0"/>
    <w:rPr>
      <w:rFonts w:ascii="方正书宋_GBK" w:hAnsi="方正书宋_GBK" w:eastAsia="方正书宋_GBK" w:cs="方正书宋_GBK"/>
      <w:color w:val="000000"/>
      <w:sz w:val="24"/>
      <w:szCs w:val="24"/>
      <w:u w:val="none"/>
    </w:rPr>
  </w:style>
  <w:style w:type="character" w:customStyle="1" w:styleId="16">
    <w:name w:val="font91"/>
    <w:basedOn w:val="5"/>
    <w:qFormat/>
    <w:uiPriority w:val="0"/>
    <w:rPr>
      <w:rFonts w:ascii="方正书宋_GBK" w:hAnsi="方正书宋_GBK" w:eastAsia="方正书宋_GBK" w:cs="方正书宋_GBK"/>
      <w:color w:val="000000"/>
      <w:sz w:val="24"/>
      <w:szCs w:val="24"/>
      <w:u w:val="none"/>
    </w:rPr>
  </w:style>
  <w:style w:type="paragraph" w:styleId="17">
    <w:name w:val="List Paragraph"/>
    <w:basedOn w:val="1"/>
    <w:unhideWhenUsed/>
    <w:qFormat/>
    <w:uiPriority w:val="99"/>
    <w:pPr>
      <w:ind w:firstLine="420" w:firstLineChars="200"/>
    </w:pPr>
  </w:style>
  <w:style w:type="character" w:customStyle="1" w:styleId="18">
    <w:name w:val="页眉 字符"/>
    <w:basedOn w:val="5"/>
    <w:link w:val="3"/>
    <w:qFormat/>
    <w:uiPriority w:val="0"/>
    <w:rPr>
      <w:rFonts w:asciiTheme="minorHAnsi" w:hAnsiTheme="minorHAnsi" w:eastAsiaTheme="minorEastAsia" w:cstheme="minorBidi"/>
      <w:kern w:val="2"/>
      <w:sz w:val="18"/>
      <w:szCs w:val="18"/>
    </w:rPr>
  </w:style>
  <w:style w:type="character" w:customStyle="1" w:styleId="19">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179</Pages>
  <Words>1567</Words>
  <Characters>6322</Characters>
  <Lines>894</Lines>
  <Paragraphs>251</Paragraphs>
  <TotalTime>1116</TotalTime>
  <ScaleCrop>false</ScaleCrop>
  <LinksUpToDate>false</LinksUpToDate>
  <CharactersWithSpaces>6334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2025-03-13T06:09:00Z</dcterms:created>
  <dc:creator>吴小静</dc:creator>
  <cp:lastModifiedBy>胡娟</cp:lastModifiedBy>
  <cp:lastPrinted>2025-07-25T07:48:00Z</cp:lastPrinted>
  <dcterms:modified xsi:type="dcterms:W3CDTF">2025-08-13T01:56:05Z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A6660542F747429D929B3C284D09F970</vt:lpwstr>
  </property>
  <property fmtid="{D5CDD505-2E9C-101B-9397-08002B2CF9AE}" pid="4" name="KSOTemplateDocerSaveRecord">
    <vt:lpwstr>eyJoZGlkIjoiMTE5NzVlNjAwNmI3ZGMzZGYwMDdlZWI2NzgyNWQ1MjIiLCJ1c2VySWQiOiI1Mjk3OTI3OTAifQ==</vt:lpwstr>
  </property>
</Properties>
</file>