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pStyle w:val="3"/>
        <w:rPr>
          <w:rFonts w:hint="default"/>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小标宋_GBK" w:cs="Times New Roman"/>
          <w:kern w:val="2"/>
          <w:sz w:val="44"/>
          <w:szCs w:val="44"/>
          <w:lang w:val="en-US" w:eastAsia="zh-CN" w:bidi="ar-SA"/>
        </w:rPr>
      </w:pPr>
      <w:r>
        <w:rPr>
          <w:rFonts w:hint="eastAsia" w:eastAsia="方正小标宋_GBK" w:cs="Times New Roman"/>
          <w:kern w:val="2"/>
          <w:sz w:val="44"/>
          <w:szCs w:val="44"/>
          <w:lang w:val="en-US" w:eastAsia="zh-CN" w:bidi="ar-SA"/>
        </w:rPr>
        <w:t>重庆市北碚区卫生健康委员会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小标宋_GBK" w:cs="Times New Roman"/>
          <w:kern w:val="2"/>
          <w:sz w:val="44"/>
          <w:szCs w:val="44"/>
          <w:lang w:val="en-US" w:eastAsia="zh-CN" w:bidi="ar-SA"/>
        </w:rPr>
      </w:pPr>
      <w:r>
        <w:rPr>
          <w:rFonts w:hint="eastAsia" w:eastAsia="方正小标宋_GBK" w:cs="Times New Roman"/>
          <w:kern w:val="2"/>
          <w:sz w:val="44"/>
          <w:szCs w:val="44"/>
          <w:lang w:val="en-US" w:eastAsia="zh-CN" w:bidi="ar-SA"/>
        </w:rPr>
        <w:t>重庆市北碚区民政局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小标宋_GBK" w:cs="Times New Roman"/>
          <w:kern w:val="2"/>
          <w:sz w:val="44"/>
          <w:szCs w:val="44"/>
          <w:lang w:val="en-US" w:eastAsia="zh-CN" w:bidi="ar-SA"/>
        </w:rPr>
      </w:pPr>
      <w:r>
        <w:rPr>
          <w:rFonts w:hint="eastAsia" w:eastAsia="方正小标宋_GBK" w:cs="Times New Roman"/>
          <w:kern w:val="2"/>
          <w:sz w:val="44"/>
          <w:szCs w:val="44"/>
          <w:lang w:val="en-US" w:eastAsia="zh-CN" w:bidi="ar-SA"/>
        </w:rPr>
        <w:t>重庆市北碚区发展改革委员会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重庆市北碚区教育委员会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重庆市北碚区财政局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重庆市北碚区规划和自然资源局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重庆市北碚区住房和城乡建设委员会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重庆市北碚区市场监督管理局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重庆市北碚区医疗保障局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color w:val="000000"/>
          <w:sz w:val="44"/>
          <w:szCs w:val="44"/>
        </w:rPr>
        <w:t>关于深入推进医养结合发展</w:t>
      </w:r>
      <w:r>
        <w:rPr>
          <w:rFonts w:hint="default" w:ascii="Times New Roman" w:hAnsi="Times New Roman" w:eastAsia="方正小标宋_GBK" w:cs="Times New Roman"/>
          <w:color w:val="000000"/>
          <w:sz w:val="44"/>
          <w:szCs w:val="44"/>
          <w:lang w:val="en-US" w:eastAsia="zh-CN"/>
        </w:rPr>
        <w:t>的实施意见</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北碚卫健发〔</w:t>
      </w:r>
      <w:r>
        <w:rPr>
          <w:rFonts w:hint="default"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130</w:t>
      </w:r>
      <w:r>
        <w:rPr>
          <w:rFonts w:hint="eastAsia" w:ascii="方正仿宋_GBK" w:hAnsi="方正仿宋_GBK" w:eastAsia="方正仿宋_GBK" w:cs="方正仿宋_GBK"/>
          <w:sz w:val="32"/>
          <w:szCs w:val="32"/>
          <w:lang w:eastAsia="zh-CN"/>
        </w:rPr>
        <w:t>号</w:t>
      </w:r>
    </w:p>
    <w:p>
      <w:pPr>
        <w:pStyle w:val="7"/>
        <w:rPr>
          <w:rFonts w:hint="eastAsia" w:ascii="方正仿宋_GBK" w:hAnsi="方正仿宋_GBK" w:eastAsia="方正仿宋_GBK" w:cs="方正仿宋_GBK"/>
          <w:kern w:val="2"/>
          <w:sz w:val="32"/>
          <w:szCs w:val="32"/>
          <w:lang w:val="en-US" w:eastAsia="zh-CN" w:bidi="ar-SA"/>
        </w:rPr>
      </w:pPr>
    </w:p>
    <w:p>
      <w:pPr>
        <w:spacing w:beforeLines="0" w:afterLines="0"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各街镇人民政府，区政府有关部门，有关单位：    </w:t>
      </w:r>
    </w:p>
    <w:p>
      <w:pPr>
        <w:spacing w:beforeLines="0" w:afterLines="0" w:line="560" w:lineRule="exact"/>
        <w:ind w:firstLine="640" w:firstLineChars="200"/>
        <w:rPr>
          <w:rFonts w:hint="eastAsia" w:ascii="Times New Roman" w:hAnsi="Times New Roman" w:eastAsia="Times New Roman" w:cs="Times New Roman"/>
          <w:color w:val="000000"/>
          <w:sz w:val="32"/>
          <w:szCs w:val="32"/>
        </w:rPr>
      </w:pPr>
      <w:r>
        <w:rPr>
          <w:rFonts w:hint="eastAsia" w:ascii="方正仿宋_GBK" w:hAnsi="方正仿宋_GBK" w:eastAsia="方正仿宋_GBK" w:cs="方正仿宋_GBK"/>
          <w:color w:val="000000"/>
          <w:sz w:val="32"/>
          <w:szCs w:val="32"/>
        </w:rPr>
        <w:t>为认真贯彻党中央、国务院关于医养结合工作的决策部署，根据重庆市卫生健康委、民政局等</w:t>
      </w:r>
      <w:r>
        <w:rPr>
          <w:rFonts w:hint="default" w:ascii="Times New Roman" w:hAnsi="Times New Roman" w:eastAsia="方正仿宋_GBK" w:cs="Times New Roman"/>
          <w:color w:val="000000"/>
          <w:sz w:val="32"/>
          <w:szCs w:val="32"/>
        </w:rPr>
        <w:t>10</w:t>
      </w:r>
      <w:r>
        <w:rPr>
          <w:rFonts w:hint="eastAsia" w:ascii="方正仿宋_GBK" w:hAnsi="方正仿宋_GBK" w:eastAsia="方正仿宋_GBK" w:cs="方正仿宋_GBK"/>
          <w:color w:val="000000"/>
          <w:sz w:val="32"/>
          <w:szCs w:val="32"/>
        </w:rPr>
        <w:t>部门联合印发的《关于深入推进医养结合发展的实施意见》（渝卫发〔</w:t>
      </w:r>
      <w:r>
        <w:rPr>
          <w:rFonts w:hint="default" w:ascii="Times New Roman" w:hAnsi="Times New Roman" w:eastAsia="方正仿宋_GBK" w:cs="Times New Roman"/>
          <w:color w:val="000000"/>
          <w:sz w:val="32"/>
          <w:szCs w:val="32"/>
        </w:rPr>
        <w:t>2020</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34</w:t>
      </w:r>
      <w:r>
        <w:rPr>
          <w:rFonts w:hint="eastAsia" w:ascii="方正仿宋_GBK" w:hAnsi="方正仿宋_GBK" w:eastAsia="方正仿宋_GBK" w:cs="方正仿宋_GBK"/>
          <w:color w:val="000000"/>
          <w:sz w:val="32"/>
          <w:szCs w:val="32"/>
        </w:rPr>
        <w:t>号）精神，现就深入推进医养结合发展制定如下实施意见：</w:t>
      </w:r>
    </w:p>
    <w:p>
      <w:pPr>
        <w:numPr>
          <w:ilvl w:val="0"/>
          <w:numId w:val="0"/>
        </w:numPr>
        <w:spacing w:beforeLines="0" w:afterLines="0" w:line="560" w:lineRule="exact"/>
        <w:ind w:firstLine="640" w:firstLineChars="200"/>
        <w:rPr>
          <w:rFonts w:hint="eastAsia"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kern w:val="2"/>
          <w:sz w:val="32"/>
          <w:szCs w:val="32"/>
          <w:u w:val="none" w:color="auto"/>
          <w:lang w:val="en-US" w:eastAsia="zh-CN" w:bidi="ar-SA"/>
        </w:rPr>
        <w:t>一、</w:t>
      </w:r>
      <w:r>
        <w:rPr>
          <w:rFonts w:hint="eastAsia" w:ascii="方正黑体_GBK" w:hAnsi="方正黑体_GBK" w:eastAsia="方正黑体_GBK" w:cs="方正黑体_GBK"/>
          <w:color w:val="000000"/>
          <w:sz w:val="32"/>
          <w:szCs w:val="32"/>
        </w:rPr>
        <w:t>目标要求</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w:t>
      </w:r>
      <w:r>
        <w:rPr>
          <w:rFonts w:hint="default" w:ascii="Times New Roman" w:hAnsi="Times New Roman" w:eastAsia="方正仿宋_GBK" w:cs="Times New Roman"/>
          <w:color w:val="000000"/>
          <w:sz w:val="32"/>
          <w:szCs w:val="32"/>
        </w:rPr>
        <w:t>2022</w:t>
      </w:r>
      <w:r>
        <w:rPr>
          <w:rFonts w:hint="eastAsia" w:ascii="方正仿宋_GBK" w:hAnsi="方正仿宋_GBK" w:eastAsia="方正仿宋_GBK" w:cs="方正仿宋_GBK"/>
          <w:color w:val="000000"/>
          <w:sz w:val="32"/>
          <w:szCs w:val="32"/>
        </w:rPr>
        <w:t>年，全区所有医疗机构为老年人开通就诊绿色通道。全区二级以上综合医院开设老年医学科不低于</w:t>
      </w:r>
      <w:r>
        <w:rPr>
          <w:rFonts w:hint="default" w:ascii="Times New Roman" w:hAnsi="Times New Roman" w:eastAsia="方正仿宋_GBK" w:cs="Times New Roman"/>
          <w:color w:val="000000"/>
          <w:sz w:val="32"/>
          <w:szCs w:val="32"/>
        </w:rPr>
        <w:t>50</w:t>
      </w:r>
      <w:r>
        <w:rPr>
          <w:rFonts w:hint="eastAsia" w:ascii="方正仿宋_GBK" w:hAnsi="方正仿宋_GBK" w:eastAsia="方正仿宋_GBK" w:cs="方正仿宋_GBK"/>
          <w:color w:val="000000"/>
          <w:sz w:val="32"/>
          <w:szCs w:val="32"/>
        </w:rPr>
        <w:t>%。三级中医医院设置康复科比例不低于</w:t>
      </w:r>
      <w:r>
        <w:rPr>
          <w:rFonts w:hint="default" w:ascii="Times New Roman" w:hAnsi="Times New Roman" w:eastAsia="方正仿宋_GBK" w:cs="Times New Roman"/>
          <w:color w:val="000000"/>
          <w:sz w:val="32"/>
          <w:szCs w:val="32"/>
        </w:rPr>
        <w:t>80</w:t>
      </w:r>
      <w:r>
        <w:rPr>
          <w:rFonts w:hint="eastAsia" w:ascii="方正仿宋_GBK" w:hAnsi="方正仿宋_GBK" w:eastAsia="方正仿宋_GBK" w:cs="方正仿宋_GBK"/>
          <w:color w:val="000000"/>
          <w:sz w:val="32"/>
          <w:szCs w:val="32"/>
        </w:rPr>
        <w:t>%。全区至少设立</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所以上老年护理院。社区医养结合型机构不少于</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个。</w:t>
      </w:r>
      <w:r>
        <w:rPr>
          <w:rFonts w:hint="default" w:ascii="Times New Roman" w:hAnsi="Times New Roman" w:eastAsia="方正仿宋_GBK" w:cs="Times New Roman"/>
          <w:color w:val="000000"/>
          <w:sz w:val="32"/>
          <w:szCs w:val="32"/>
        </w:rPr>
        <w:t>65</w:t>
      </w:r>
      <w:r>
        <w:rPr>
          <w:rFonts w:hint="eastAsia" w:ascii="方正仿宋_GBK" w:hAnsi="方正仿宋_GBK" w:eastAsia="方正仿宋_GBK" w:cs="方正仿宋_GBK"/>
          <w:color w:val="000000"/>
          <w:sz w:val="32"/>
          <w:szCs w:val="32"/>
        </w:rPr>
        <w:t>岁以上老年人健康管理率</w:t>
      </w:r>
      <w:r>
        <w:rPr>
          <w:rFonts w:hint="default" w:ascii="Times New Roman" w:hAnsi="Times New Roman" w:eastAsia="方正仿宋_GBK" w:cs="Times New Roman"/>
          <w:color w:val="000000"/>
          <w:sz w:val="32"/>
          <w:szCs w:val="32"/>
        </w:rPr>
        <w:t>72</w:t>
      </w:r>
      <w:r>
        <w:rPr>
          <w:rFonts w:hint="eastAsia" w:ascii="方正仿宋_GBK" w:hAnsi="方正仿宋_GBK" w:eastAsia="方正仿宋_GBK" w:cs="方正仿宋_GBK"/>
          <w:color w:val="000000"/>
          <w:sz w:val="32"/>
          <w:szCs w:val="32"/>
        </w:rPr>
        <w:t>%以上。人均预期寿命达</w:t>
      </w:r>
      <w:r>
        <w:rPr>
          <w:rFonts w:hint="default" w:ascii="Times New Roman" w:hAnsi="Times New Roman" w:eastAsia="方正仿宋_GBK" w:cs="Times New Roman"/>
          <w:color w:val="000000"/>
          <w:sz w:val="32"/>
          <w:szCs w:val="32"/>
        </w:rPr>
        <w:t>78</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岁。</w:t>
      </w:r>
    </w:p>
    <w:p>
      <w:pPr>
        <w:numPr>
          <w:ilvl w:val="0"/>
          <w:numId w:val="0"/>
        </w:numPr>
        <w:spacing w:beforeLines="0" w:afterLines="0" w:line="560" w:lineRule="exact"/>
        <w:ind w:firstLine="640" w:firstLineChars="200"/>
        <w:rPr>
          <w:rFonts w:hint="eastAsia" w:ascii="方正黑体_GBK" w:hAnsi="方正黑体_GBK" w:eastAsia="方正黑体_GBK" w:cs="方正黑体_GBK"/>
          <w:color w:val="000000"/>
          <w:kern w:val="2"/>
          <w:sz w:val="32"/>
          <w:szCs w:val="32"/>
          <w:u w:val="none" w:color="auto"/>
          <w:lang w:val="en-US" w:eastAsia="zh-CN" w:bidi="ar-SA"/>
        </w:rPr>
      </w:pPr>
      <w:r>
        <w:rPr>
          <w:rFonts w:hint="eastAsia" w:ascii="方正黑体_GBK" w:hAnsi="方正黑体_GBK" w:eastAsia="方正黑体_GBK" w:cs="方正黑体_GBK"/>
          <w:color w:val="000000"/>
          <w:kern w:val="2"/>
          <w:sz w:val="32"/>
          <w:szCs w:val="32"/>
          <w:u w:val="none" w:color="auto"/>
          <w:lang w:val="en-US" w:eastAsia="zh-CN" w:bidi="ar-SA"/>
        </w:rPr>
        <w:t>二、主要任务</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（一）拓展医疗卫生机构老年健康服务功能。</w:t>
      </w:r>
      <w:r>
        <w:rPr>
          <w:rFonts w:hint="eastAsia" w:ascii="方正仿宋_GBK" w:hAnsi="方正仿宋_GBK" w:eastAsia="方正仿宋_GBK" w:cs="方正仿宋_GBK"/>
          <w:color w:val="000000"/>
          <w:sz w:val="32"/>
          <w:szCs w:val="32"/>
        </w:rPr>
        <w:t>将老年医院、康复医院、护理院、安宁疗护机构作为区域卫生规划重点，加大建设力度。鼓励二级以上综合医院开设老年医学科，增设老年康复、护理床位，开展老年慢性病防治和康复护理等工作。支持公立医院积极稳妥将部分分院转型为康复、护理、安宁疗护等接续性医疗机构。引导部分二级及以下医院转型发展成为收治重病、失能、半失能老年人的医养结合机构。</w:t>
      </w:r>
      <w:r>
        <w:rPr>
          <w:rFonts w:hint="eastAsia" w:ascii="方正楷体_GBK" w:hAnsi="方正楷体_GBK" w:eastAsia="方正楷体_GBK" w:cs="方正楷体_GBK"/>
          <w:color w:val="000000"/>
          <w:sz w:val="32"/>
          <w:szCs w:val="32"/>
        </w:rPr>
        <w:t>（区卫生健康委、区民政局、各街镇按职责分工负责）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（二）加强医疗卫生机构与养老机构签约合作。</w:t>
      </w:r>
      <w:r>
        <w:rPr>
          <w:rFonts w:hint="eastAsia" w:ascii="方正仿宋_GBK" w:hAnsi="方正仿宋_GBK" w:eastAsia="方正仿宋_GBK" w:cs="方正仿宋_GBK"/>
          <w:color w:val="000000"/>
          <w:sz w:val="32"/>
          <w:szCs w:val="32"/>
        </w:rPr>
        <w:t>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w:t>
      </w:r>
      <w:r>
        <w:rPr>
          <w:rFonts w:hint="eastAsia" w:ascii="方正楷体_GBK" w:hAnsi="方正楷体_GBK" w:eastAsia="方正楷体_GBK" w:cs="方正楷体_GBK"/>
          <w:color w:val="000000"/>
          <w:sz w:val="32"/>
          <w:szCs w:val="32"/>
        </w:rPr>
        <w:t>（区卫生健康委、区民政局、各街镇按职责分工负责）</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（三）推动养老机构开展医疗卫生服务。</w:t>
      </w:r>
      <w:r>
        <w:rPr>
          <w:rFonts w:hint="eastAsia" w:ascii="方正仿宋_GBK" w:hAnsi="方正仿宋_GBK" w:eastAsia="方正仿宋_GBK" w:cs="方正仿宋_GBK"/>
          <w:color w:val="000000"/>
          <w:sz w:val="32"/>
          <w:szCs w:val="32"/>
        </w:rPr>
        <w:t>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w:t>
      </w:r>
      <w:r>
        <w:rPr>
          <w:rFonts w:hint="eastAsia" w:ascii="方正楷体_GBK" w:hAnsi="方正楷体_GBK" w:eastAsia="方正楷体_GBK" w:cs="方正楷体_GBK"/>
          <w:color w:val="000000"/>
          <w:sz w:val="32"/>
          <w:szCs w:val="32"/>
        </w:rPr>
        <w:t>（区卫生健康委、区民政局、各街镇按职责分工负责）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（四）提升社区医养结合服务能力。</w:t>
      </w:r>
      <w:r>
        <w:rPr>
          <w:rFonts w:hint="eastAsia" w:ascii="方正仿宋_GBK" w:hAnsi="方正仿宋_GBK" w:eastAsia="方正仿宋_GBK" w:cs="方正仿宋_GBK"/>
          <w:color w:val="000000"/>
          <w:sz w:val="32"/>
          <w:szCs w:val="32"/>
        </w:rPr>
        <w:t>按照全市社区居家养老全覆盖计划，实施社区医养结合能力提升工程，社区卫生服务机构、乡镇卫生院或社区养老机构、敬老院利用现有资源，内部改扩建一批社区（乡镇）医养结合服务设施，重点为社区（乡镇）失能（含失智，下同）老年人提供集中或居家医养结合服务。支持新建社区卫生服务机构与街道养老服务中心，乡镇卫生院与乡镇养老服务中心，村卫生室与农村幸福院一体或毗邻建设。有条件的基层医疗卫生机构可设置康复、护理、安宁疗护病床和养老床位，因地制宜开展家庭病床服务。支持有条件的镇（街道）养老服务中心开办诊所、护理院等医疗卫生服务机构，逐步提高护理型养老床位比例。</w:t>
      </w:r>
      <w:r>
        <w:rPr>
          <w:rFonts w:hint="eastAsia" w:ascii="方正楷体_GBK" w:hAnsi="方正楷体_GBK" w:eastAsia="方正楷体_GBK" w:cs="方正楷体_GBK"/>
          <w:color w:val="000000"/>
          <w:sz w:val="32"/>
          <w:szCs w:val="32"/>
        </w:rPr>
        <w:t xml:space="preserve">（区卫生健康委、区民政局、各街镇按职责分工负责）    </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（五）推进医疗卫生服务向家庭延伸。</w:t>
      </w:r>
      <w:r>
        <w:rPr>
          <w:rFonts w:hint="eastAsia" w:ascii="方正仿宋_GBK" w:hAnsi="方正仿宋_GBK" w:eastAsia="方正仿宋_GBK" w:cs="方正仿宋_GBK"/>
          <w:color w:val="000000"/>
          <w:sz w:val="32"/>
          <w:szCs w:val="32"/>
        </w:rPr>
        <w:t>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w:t>
      </w:r>
      <w:r>
        <w:rPr>
          <w:rFonts w:hint="eastAsia" w:ascii="方正楷体_GBK" w:hAnsi="方正楷体_GBK" w:eastAsia="方正楷体_GBK" w:cs="方正楷体_GBK"/>
          <w:color w:val="000000"/>
          <w:sz w:val="32"/>
          <w:szCs w:val="32"/>
        </w:rPr>
        <w:t xml:space="preserve">（区卫生健康委、区民政局、区医保局、区发展改革委、各街镇人民政府按职责分工负责）    </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（六）发展中医药健康养老服务。</w:t>
      </w:r>
      <w:r>
        <w:rPr>
          <w:rFonts w:hint="eastAsia" w:ascii="方正仿宋_GBK" w:hAnsi="方正仿宋_GBK" w:eastAsia="方正仿宋_GBK" w:cs="方正仿宋_GBK"/>
          <w:color w:val="000000"/>
          <w:sz w:val="32"/>
          <w:szCs w:val="32"/>
        </w:rPr>
        <w:t>推动中医药与养老服务融合发展，充分发挥中医药在治未病、慢性病管理、疾病治疗和康复中的独特作用，推广中医药适宜技术，增强中医药医养结合服务能力。鼓励北碚区中医院加强与养老机构合作，为入住养老机构的老年人提供医疗巡诊、健康管理、保健咨询、预约诊疗、急诊急救、中医药养生保健服务。支持开展中医医养结合服务，鼓励中医院设置治未病科室，开设康复科，增加老年病床数量，开设老年人就诊绿色通道，提升老年人常见病、多发病和慢性病诊疗能力。支持养老机构开设中医诊所，提供具有中医特色的老年人养生保健、医疗、康复、护理、健康管理服务。鼓励和支持公立中医院通过特许经营等方式，以品牌、技术、人才、管理等优势资源与养老机构开展合作。鼓励区中医院、社区卫生服务中心、镇卫生院与养老机构、社区养老服务中心等合作，推广针灸、推拿、中医康复等中医药适宜技术，推动优质中医药资源进社区、进农村、进家庭。</w:t>
      </w:r>
      <w:r>
        <w:rPr>
          <w:rFonts w:hint="eastAsia" w:ascii="方正楷体_GBK" w:hAnsi="方正楷体_GBK" w:eastAsia="方正楷体_GBK" w:cs="方正楷体_GBK"/>
          <w:color w:val="000000"/>
          <w:sz w:val="32"/>
          <w:szCs w:val="32"/>
        </w:rPr>
        <w:t>（区卫生健康委、区民政局、各街镇按职责分工负责）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（七）加强医养结合信息化支撑。</w:t>
      </w:r>
      <w:r>
        <w:rPr>
          <w:rFonts w:hint="eastAsia" w:ascii="方正仿宋_GBK" w:hAnsi="方正仿宋_GBK" w:eastAsia="方正仿宋_GBK" w:cs="方正仿宋_GBK"/>
          <w:color w:val="000000"/>
          <w:sz w:val="32"/>
          <w:szCs w:val="32"/>
        </w:rPr>
        <w:t>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w:t>
      </w:r>
      <w:r>
        <w:rPr>
          <w:rFonts w:hint="eastAsia" w:ascii="方正楷体_GBK" w:hAnsi="方正楷体_GBK" w:eastAsia="方正楷体_GBK" w:cs="方正楷体_GBK"/>
          <w:color w:val="000000"/>
          <w:sz w:val="32"/>
          <w:szCs w:val="32"/>
        </w:rPr>
        <w:t>（区卫生健康委、区民政局、区大数据应用发展管理局、各街镇按职责分工负责）</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（八）大力发展医养康养产品。</w:t>
      </w:r>
      <w:r>
        <w:rPr>
          <w:rFonts w:hint="eastAsia" w:ascii="方正仿宋_GBK" w:hAnsi="方正仿宋_GBK" w:eastAsia="方正仿宋_GBK" w:cs="方正仿宋_GBK"/>
          <w:color w:val="000000"/>
          <w:sz w:val="32"/>
          <w:szCs w:val="32"/>
        </w:rPr>
        <w:t>支持全区各个行业立足实际，合理定位，科学规划，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血糖仪、助听器、呼吸机等家庭医疗器械，满足高龄、患病老年人的家庭照料和护理服务需求</w:t>
      </w:r>
      <w:r>
        <w:rPr>
          <w:rFonts w:hint="eastAsia"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sz w:val="32"/>
          <w:szCs w:val="32"/>
        </w:rPr>
        <w:t>创新开发智慧健康产品，针对家庭、社区、机构等不同应用环境，发展健康管理类可穿戴设备、便携式健康监测设备、自助式健康检测设备等智慧健康医养康养产品。</w:t>
      </w:r>
      <w:r>
        <w:rPr>
          <w:rFonts w:hint="eastAsia" w:ascii="方正楷体_GBK" w:hAnsi="方正楷体_GBK" w:eastAsia="方正楷体_GBK" w:cs="方正楷体_GBK"/>
          <w:color w:val="000000"/>
          <w:sz w:val="32"/>
          <w:szCs w:val="32"/>
        </w:rPr>
        <w:t xml:space="preserve">（区商务委、区科技局、区经济信息委、各街镇按职责分工负责） </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（九）鼓励社会力量举办医养结合机构。</w:t>
      </w:r>
      <w:r>
        <w:rPr>
          <w:rFonts w:hint="eastAsia" w:ascii="方正仿宋_GBK" w:hAnsi="方正仿宋_GBK" w:eastAsia="方正仿宋_GBK" w:cs="方正仿宋_GBK"/>
          <w:color w:val="000000"/>
          <w:sz w:val="32"/>
          <w:szCs w:val="32"/>
        </w:rPr>
        <w:t>政府对社会办医养结合机构区域总量不作规划限制。按照“非禁即入”原则，不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各地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w:t>
      </w:r>
      <w:r>
        <w:rPr>
          <w:rFonts w:hint="eastAsia" w:ascii="方正楷体_GBK" w:hAnsi="方正楷体_GBK" w:eastAsia="方正楷体_GBK" w:cs="方正楷体_GBK"/>
          <w:color w:val="000000"/>
          <w:sz w:val="32"/>
          <w:szCs w:val="32"/>
        </w:rPr>
        <w:t>（区卫生健康委、区发展改革委、区民政局、区财政局、区规划和自然资源局、区住房城乡建委、区税务局、区市场监管局、各街镇按职责分工负责）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（十）加强医养结合服务监管。</w:t>
      </w:r>
      <w:r>
        <w:rPr>
          <w:rFonts w:hint="eastAsia" w:ascii="方正仿宋_GBK" w:hAnsi="方正仿宋_GBK" w:eastAsia="方正仿宋_GBK" w:cs="方正仿宋_GBK"/>
          <w:color w:val="000000"/>
          <w:sz w:val="32"/>
          <w:szCs w:val="32"/>
        </w:rPr>
        <w:t>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w:t>
      </w:r>
      <w:r>
        <w:rPr>
          <w:rFonts w:hint="eastAsia" w:ascii="方正楷体_GBK" w:hAnsi="方正楷体_GBK" w:eastAsia="方正楷体_GBK" w:cs="方正楷体_GBK"/>
          <w:color w:val="000000"/>
          <w:sz w:val="32"/>
          <w:szCs w:val="32"/>
        </w:rPr>
        <w:t>（区卫生健康委、区民政局、区应急管理局、北碚消防救援支队、各街镇按职责分工负责）</w:t>
      </w:r>
    </w:p>
    <w:p>
      <w:pPr>
        <w:numPr>
          <w:ilvl w:val="0"/>
          <w:numId w:val="0"/>
        </w:numPr>
        <w:spacing w:beforeLines="0" w:afterLines="0" w:line="560" w:lineRule="exact"/>
        <w:ind w:firstLine="640" w:firstLineChars="200"/>
        <w:rPr>
          <w:rFonts w:hint="eastAsia" w:ascii="方正黑体_GBK" w:hAnsi="方正黑体_GBK" w:eastAsia="方正黑体_GBK" w:cs="方正黑体_GBK"/>
          <w:color w:val="000000"/>
          <w:kern w:val="2"/>
          <w:sz w:val="32"/>
          <w:szCs w:val="32"/>
          <w:u w:val="none" w:color="auto"/>
          <w:lang w:val="en-US" w:eastAsia="zh-CN" w:bidi="ar-SA"/>
        </w:rPr>
      </w:pPr>
      <w:r>
        <w:rPr>
          <w:rFonts w:hint="eastAsia" w:ascii="方正黑体_GBK" w:hAnsi="方正黑体_GBK" w:eastAsia="方正黑体_GBK" w:cs="方正黑体_GBK"/>
          <w:color w:val="000000"/>
          <w:kern w:val="2"/>
          <w:sz w:val="32"/>
          <w:szCs w:val="32"/>
          <w:u w:val="none" w:color="auto"/>
          <w:lang w:val="en-US" w:eastAsia="zh-CN" w:bidi="ar-SA"/>
        </w:rPr>
        <w:t>三、保障措施</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（十一）简化审批登记。</w:t>
      </w:r>
      <w:r>
        <w:rPr>
          <w:rFonts w:hint="eastAsia" w:ascii="方正仿宋_GBK" w:hAnsi="方正仿宋_GBK" w:eastAsia="方正仿宋_GBK" w:cs="方正仿宋_GBK"/>
          <w:color w:val="000000"/>
          <w:sz w:val="32"/>
          <w:szCs w:val="32"/>
        </w:rPr>
        <w:t>认真贯彻落实市卫生健康委等部门《关于进一步做好医养结合机构审批登记工作的通知》（渝卫发〔</w:t>
      </w:r>
      <w:r>
        <w:rPr>
          <w:rFonts w:hint="default" w:ascii="Times New Roman" w:hAnsi="Times New Roman" w:eastAsia="方正仿宋_GBK" w:cs="Times New Roman"/>
          <w:color w:val="000000"/>
          <w:sz w:val="32"/>
          <w:szCs w:val="32"/>
        </w:rPr>
        <w:t>2019</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47</w:t>
      </w:r>
      <w:r>
        <w:rPr>
          <w:rFonts w:hint="eastAsia" w:ascii="方正仿宋_GBK" w:hAnsi="方正仿宋_GBK" w:eastAsia="方正仿宋_GBK" w:cs="方正仿宋_GBK"/>
          <w:color w:val="000000"/>
          <w:sz w:val="32"/>
          <w:szCs w:val="32"/>
        </w:rPr>
        <w:t>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w:t>
      </w:r>
      <w:r>
        <w:rPr>
          <w:rFonts w:hint="eastAsia" w:ascii="方正楷体_GBK" w:hAnsi="方正楷体_GBK" w:eastAsia="方正楷体_GBK" w:cs="方正楷体_GBK"/>
          <w:color w:val="000000"/>
          <w:sz w:val="32"/>
          <w:szCs w:val="32"/>
        </w:rPr>
        <w:t xml:space="preserve">（区卫生健康委、区民政局、区市场监管局、区发展改革委、区住房城乡建委、各街镇按职责分工负责） </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（十二）加强土地保障。</w:t>
      </w:r>
      <w:r>
        <w:rPr>
          <w:rFonts w:hint="eastAsia" w:ascii="方正仿宋_GBK" w:hAnsi="方正仿宋_GBK" w:eastAsia="方正仿宋_GBK" w:cs="方正仿宋_GBK"/>
          <w:color w:val="000000"/>
          <w:sz w:val="32"/>
          <w:szCs w:val="32"/>
        </w:rPr>
        <w:t>要按照有关要求，编制北碚区医疗、养老服务设施专项规划。区卫生健康委、区民政局分别牵头编制完善中心城区医疗、养老服务设施专项规划，经批准后按程序纳入相关国土空间规划，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鼓励符合规划用途的农村集体建设用地依法用于医养结合机构建设。</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允许盘活利用城镇现有空闲商业用房、厂房、校舍、办公用房、培训设施及其他设施提供医养结合服务。所使用的存量房屋在符合详细规划且不改变用地主体的条件下，可在五年内继续按原用途和权利类型使用土地；五年期满及涉及转让需办理相关改变用地主体手续的，新用地主体为营利性的可按新用途、新权利类型、市场价，以协议方式办理用地手续。由非营利性机构使用的，原划拨土地可继续划拨使用。</w:t>
      </w:r>
      <w:r>
        <w:rPr>
          <w:rFonts w:hint="eastAsia" w:ascii="方正楷体_GBK" w:hAnsi="方正楷体_GBK" w:eastAsia="方正楷体_GBK" w:cs="方正楷体_GBK"/>
          <w:color w:val="000000"/>
          <w:sz w:val="32"/>
          <w:szCs w:val="32"/>
        </w:rPr>
        <w:t>（区规划和自然资源局、区卫生健康委、区民政局、区财政局、各街镇按职责分工负责）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（十三）减轻税费负担。</w:t>
      </w:r>
      <w:r>
        <w:rPr>
          <w:rFonts w:hint="eastAsia" w:ascii="方正仿宋_GBK" w:hAnsi="方正仿宋_GBK" w:eastAsia="方正仿宋_GBK" w:cs="方正仿宋_GBK"/>
          <w:color w:val="000000"/>
          <w:sz w:val="32"/>
          <w:szCs w:val="32"/>
        </w:rPr>
        <w:t>落实各项税费优惠政策，经认定为非营利组织的社会办医养结合机构，对其符合条件的非营利性收入免征企业所得税，</w:t>
      </w:r>
      <w:r>
        <w:rPr>
          <w:rFonts w:hint="eastAsia" w:ascii="方正仿宋_GBK" w:hAnsi="方正仿宋_GBK" w:eastAsia="方正仿宋_GBK" w:cs="方正仿宋_GBK"/>
          <w:b/>
          <w:color w:val="000000"/>
          <w:sz w:val="32"/>
          <w:szCs w:val="32"/>
        </w:rPr>
        <w:t>对其自用的房产、土地，对非营利性医疗机构自用的房产、土地免征房产税、城镇土地使用税，对营利性医疗机构自用的房产、土地自其取得执业登记之日起免征</w:t>
      </w:r>
      <w:r>
        <w:rPr>
          <w:rFonts w:hint="default" w:ascii="Times New Roman" w:hAnsi="Times New Roman" w:eastAsia="方正仿宋_GBK" w:cs="Times New Roman"/>
          <w:b/>
          <w:color w:val="000000"/>
          <w:sz w:val="32"/>
          <w:szCs w:val="32"/>
        </w:rPr>
        <w:t>3</w:t>
      </w:r>
      <w:r>
        <w:rPr>
          <w:rFonts w:hint="eastAsia" w:ascii="方正仿宋_GBK" w:hAnsi="方正仿宋_GBK" w:eastAsia="方正仿宋_GBK" w:cs="方正仿宋_GBK"/>
          <w:b/>
          <w:color w:val="000000"/>
          <w:sz w:val="32"/>
          <w:szCs w:val="32"/>
        </w:rPr>
        <w:t>年房产税、城镇土地使用税。</w:t>
      </w:r>
      <w:r>
        <w:rPr>
          <w:rFonts w:hint="eastAsia" w:ascii="方正仿宋_GBK" w:hAnsi="方正仿宋_GBK" w:eastAsia="方正仿宋_GBK" w:cs="方正仿宋_GBK"/>
          <w:color w:val="000000"/>
          <w:sz w:val="32"/>
          <w:szCs w:val="32"/>
        </w:rPr>
        <w:t>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w:t>
      </w:r>
      <w:r>
        <w:rPr>
          <w:rFonts w:hint="eastAsia" w:ascii="方正楷体_GBK" w:hAnsi="方正楷体_GBK" w:eastAsia="方正楷体_GBK" w:cs="方正楷体_GBK"/>
          <w:color w:val="000000"/>
          <w:sz w:val="32"/>
          <w:szCs w:val="32"/>
        </w:rPr>
        <w:t>（区财政局、区税务局、区发展改革委、区经济信息委、各街镇按职责分工负责）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（十四）拓宽投融资渠道。</w:t>
      </w:r>
      <w:r>
        <w:rPr>
          <w:rFonts w:hint="eastAsia" w:ascii="方正仿宋_GBK" w:hAnsi="方正仿宋_GBK" w:eastAsia="方正仿宋_GBK" w:cs="方正仿宋_GBK"/>
          <w:color w:val="000000"/>
          <w:sz w:val="32"/>
          <w:szCs w:val="32"/>
        </w:rPr>
        <w:t>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探索完善抵押贷款政策，拓宽信贷担保物范围贷担保物范围。</w:t>
      </w:r>
      <w:r>
        <w:rPr>
          <w:rFonts w:hint="eastAsia" w:ascii="方正楷体_GBK" w:hAnsi="方正楷体_GBK" w:eastAsia="方正楷体_GBK" w:cs="方正楷体_GBK"/>
          <w:color w:val="000000"/>
          <w:sz w:val="32"/>
          <w:szCs w:val="32"/>
        </w:rPr>
        <w:t>（区金融中心、区发展改革委、区规划和自然资源局、区卫生健康委、区民政局、各街镇按职责分工负责）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（十五）强化投入支持。</w:t>
      </w:r>
      <w:r>
        <w:rPr>
          <w:rFonts w:hint="eastAsia" w:ascii="方正仿宋_GBK" w:hAnsi="方正仿宋_GBK" w:eastAsia="方正仿宋_GBK" w:cs="方正仿宋_GBK"/>
          <w:color w:val="000000"/>
          <w:sz w:val="32"/>
          <w:szCs w:val="32"/>
        </w:rPr>
        <w:t>各镇街要加大政府购买服务力度，支持符合条件的社会办医养结合机构承接当地公共卫生、基本医疗和基本养老等服务。用于社会福利事业的彩票公益金</w:t>
      </w:r>
      <w:r>
        <w:rPr>
          <w:rFonts w:hint="eastAsia" w:ascii="方正仿宋_GBK" w:hAnsi="方正仿宋_GBK" w:eastAsia="方正仿宋_GBK" w:cs="方正仿宋_GBK"/>
          <w:b/>
          <w:color w:val="000000"/>
          <w:sz w:val="32"/>
          <w:szCs w:val="32"/>
        </w:rPr>
        <w:t>可</w:t>
      </w:r>
      <w:r>
        <w:rPr>
          <w:rFonts w:hint="eastAsia" w:ascii="方正仿宋_GBK" w:hAnsi="方正仿宋_GBK" w:eastAsia="方正仿宋_GBK" w:cs="方正仿宋_GBK"/>
          <w:color w:val="000000"/>
          <w:sz w:val="32"/>
          <w:szCs w:val="32"/>
        </w:rPr>
        <w:t>适当支持开展医养结合服务。</w:t>
      </w:r>
      <w:r>
        <w:rPr>
          <w:rFonts w:hint="eastAsia" w:ascii="方正楷体_GBK" w:hAnsi="方正楷体_GBK" w:eastAsia="方正楷体_GBK" w:cs="方正楷体_GBK"/>
          <w:color w:val="000000"/>
          <w:sz w:val="32"/>
          <w:szCs w:val="32"/>
        </w:rPr>
        <w:t>（区财政局、区发展改革委、区卫生健康委、区民政局、各街镇按职责分工负责）</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（十六）强化保险支持。</w:t>
      </w:r>
      <w:r>
        <w:rPr>
          <w:rFonts w:hint="eastAsia" w:ascii="方正仿宋_GBK" w:hAnsi="方正仿宋_GBK" w:eastAsia="方正仿宋_GBK" w:cs="方正仿宋_GBK"/>
          <w:color w:val="000000"/>
          <w:sz w:val="32"/>
          <w:szCs w:val="32"/>
        </w:rPr>
        <w:t>扩大基本医疗保险定点范围。将符合条件的养老机构内设医疗机构，按规定纳入城乡基本医疗保险定点范围，</w:t>
      </w:r>
      <w:r>
        <w:rPr>
          <w:rFonts w:hint="eastAsia" w:ascii="方正仿宋_GBK" w:hAnsi="方正仿宋_GBK" w:eastAsia="方正仿宋_GBK" w:cs="方正仿宋_GBK"/>
          <w:b/>
          <w:color w:val="000000"/>
          <w:sz w:val="32"/>
          <w:szCs w:val="32"/>
        </w:rPr>
        <w:t>正式运营后即可提出定点申请，</w:t>
      </w:r>
      <w:r>
        <w:rPr>
          <w:rFonts w:hint="default" w:ascii="Times New Roman" w:hAnsi="Times New Roman" w:eastAsia="方正仿宋_GBK" w:cs="Times New Roman"/>
          <w:b/>
          <w:color w:val="000000"/>
          <w:sz w:val="32"/>
          <w:szCs w:val="32"/>
        </w:rPr>
        <w:t>1</w:t>
      </w:r>
      <w:r>
        <w:rPr>
          <w:rFonts w:hint="eastAsia" w:ascii="方正仿宋_GBK" w:hAnsi="方正仿宋_GBK" w:eastAsia="方正仿宋_GBK" w:cs="方正仿宋_GBK"/>
          <w:b/>
          <w:color w:val="000000"/>
          <w:sz w:val="32"/>
          <w:szCs w:val="32"/>
        </w:rPr>
        <w:t>个月内完成定点现场查看。</w:t>
      </w:r>
      <w:r>
        <w:rPr>
          <w:rFonts w:hint="eastAsia" w:ascii="方正仿宋_GBK" w:hAnsi="方正仿宋_GBK" w:eastAsia="方正仿宋_GBK" w:cs="方正仿宋_GBK"/>
          <w:color w:val="000000"/>
          <w:sz w:val="32"/>
          <w:szCs w:val="32"/>
        </w:rPr>
        <w:t>对符合规定的转诊住院患者可以连续计算医保起付线，积极推进按病种、按疾病诊断相关分组（DRG）、按床日等多元复合的医保支付方式。</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厘清医疗卫生服务和养老服务的支付边界，基本医疗保险基金只能用于支付符合基本医疗保障范围的疾病诊治、医疗护理、医疗康复等医疗卫生服务费用。</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加快发展包括商业长期护理保险在内的多种老年护理保险产品，满足老年人护理保障需求。</w:t>
      </w:r>
      <w:r>
        <w:rPr>
          <w:rFonts w:hint="eastAsia" w:ascii="方正楷体_GBK" w:hAnsi="方正楷体_GBK" w:eastAsia="方正楷体_GBK" w:cs="方正楷体_GBK"/>
          <w:color w:val="000000"/>
          <w:sz w:val="32"/>
          <w:szCs w:val="32"/>
        </w:rPr>
        <w:t>（区医保局、区发展改革委、各街镇按职责分工负责）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（十七）建立健全长期照护服务体系。</w:t>
      </w:r>
      <w:r>
        <w:rPr>
          <w:rFonts w:hint="eastAsia" w:ascii="方正仿宋_GBK" w:hAnsi="方正仿宋_GBK" w:eastAsia="方正仿宋_GBK" w:cs="方正仿宋_GBK"/>
          <w:color w:val="000000"/>
          <w:sz w:val="32"/>
          <w:szCs w:val="32"/>
        </w:rPr>
        <w:t>按照国家统一部署健全适合我市的长期护理保险制度，为长期失能的参保老年人提供更加精准的生活照料和与生活照料密切相关的护理服务，减轻家庭照护压力，提升专业照护水平。建立统一的老年人能力评估标准并开展评估，评估结果作为领取老年人补贴、接受基本养老服务的依据。以居家照护为重点，逐步建立与居家、社区、机构和住院护理等相适宜的长护险服务内容和支付标准。</w:t>
      </w:r>
      <w:r>
        <w:rPr>
          <w:rFonts w:hint="eastAsia" w:ascii="方正楷体_GBK" w:hAnsi="方正楷体_GBK" w:eastAsia="方正楷体_GBK" w:cs="方正楷体_GBK"/>
          <w:color w:val="000000"/>
          <w:sz w:val="32"/>
          <w:szCs w:val="32"/>
        </w:rPr>
        <w:t>（区医保局、区民政局、区财政局、区卫生健康委、各街镇按职责分工负责）</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（十八）完善医疗服务支持制度。</w:t>
      </w:r>
      <w:r>
        <w:rPr>
          <w:rFonts w:hint="eastAsia" w:ascii="方正仿宋_GBK" w:hAnsi="方正仿宋_GBK" w:eastAsia="方正仿宋_GBK" w:cs="方正仿宋_GBK"/>
          <w:color w:val="000000"/>
          <w:sz w:val="32"/>
          <w:szCs w:val="32"/>
        </w:rPr>
        <w:t>医疗机构设置的医养结合、老年病、安宁疗护等床位不列入平均住院日统计指标。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w:t>
      </w:r>
      <w:r>
        <w:rPr>
          <w:rFonts w:hint="eastAsia" w:ascii="方正楷体_GBK" w:hAnsi="方正楷体_GBK" w:eastAsia="方正楷体_GBK" w:cs="方正楷体_GBK"/>
          <w:color w:val="000000"/>
          <w:sz w:val="32"/>
          <w:szCs w:val="32"/>
        </w:rPr>
        <w:t>（区卫生健康委、区发展改革委、区市场监管局、各街镇按职责分工负责）</w:t>
      </w:r>
    </w:p>
    <w:p>
      <w:pPr>
        <w:numPr>
          <w:ilvl w:val="0"/>
          <w:numId w:val="0"/>
        </w:num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w:t>
      </w:r>
      <w:r>
        <w:rPr>
          <w:rFonts w:hint="eastAsia" w:ascii="方正楷体_GBK" w:hAnsi="方正楷体_GBK" w:eastAsia="方正楷体_GBK" w:cs="方正楷体_GBK"/>
          <w:color w:val="000000"/>
          <w:sz w:val="32"/>
          <w:szCs w:val="32"/>
        </w:rPr>
        <w:t>（区卫生健康委、区财政局、区医保局、区人力社保局、各街镇按职责分工负责）</w:t>
      </w:r>
    </w:p>
    <w:p>
      <w:pPr>
        <w:numPr>
          <w:ilvl w:val="0"/>
          <w:numId w:val="0"/>
        </w:num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（十九）加强人才队伍建设。</w:t>
      </w:r>
      <w:r>
        <w:rPr>
          <w:rFonts w:hint="eastAsia" w:ascii="方正仿宋_GBK" w:hAnsi="方正仿宋_GBK" w:eastAsia="方正仿宋_GBK" w:cs="方正仿宋_GBK"/>
          <w:color w:val="000000"/>
          <w:sz w:val="32"/>
          <w:szCs w:val="32"/>
        </w:rPr>
        <w:t>扩大医养结合服务队伍，将医养结合人才队伍建设分别纳入卫生健康和养老服务发展规划，支持引导普通高校、职业中学（含技工院校）增设相关专业和课程，加强老年医学、康复、护理、健康管理、社工、老年服务与管理等专业人才培养，扩大相关专业招生规模。统筹现有资源，设立安宁疗护中心、安宁疗护病区或床位，探索普通高校、科研机构、医疗卫生机构、行业学会协会与医养结合机构协同培养技术技能人才。</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支持医务人员从事医养结合服务，实施医师执业地点区域注册制度，支持医务人员到医养结合机构执业。医养结合机构中的医务人员享有与其他医疗卫生机构同等的职称评定、专业技术人员继续教育等待遇。建立基层医疗卫生机构参与健康养老服务的激励机制，鼓励退休医务人员到医养结合机构执业。</w:t>
      </w:r>
    </w:p>
    <w:p>
      <w:pPr>
        <w:spacing w:beforeLines="0" w:afterLines="0" w:line="56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w:t>
      </w:r>
      <w:r>
        <w:rPr>
          <w:rFonts w:hint="eastAsia" w:ascii="方正楷体_GBK" w:hAnsi="方正楷体_GBK" w:eastAsia="方正楷体_GBK" w:cs="方正楷体_GBK"/>
          <w:color w:val="000000"/>
          <w:sz w:val="32"/>
          <w:szCs w:val="32"/>
        </w:rPr>
        <w:t>（区教委、区人力社保局、区发展改革委、区卫生健康委、区民政局、团区委、区妇联按职责分工负责，各街镇人民政府负责）</w:t>
      </w:r>
    </w:p>
    <w:p>
      <w:pPr>
        <w:numPr>
          <w:ilvl w:val="0"/>
          <w:numId w:val="0"/>
        </w:numPr>
        <w:spacing w:beforeLines="0" w:afterLines="0" w:line="560" w:lineRule="exact"/>
        <w:ind w:firstLine="640" w:firstLineChars="200"/>
        <w:rPr>
          <w:rFonts w:hint="eastAsia" w:ascii="方正黑体_GBK" w:hAnsi="方正黑体_GBK" w:eastAsia="方正黑体_GBK" w:cs="方正黑体_GBK"/>
          <w:color w:val="000000"/>
          <w:kern w:val="2"/>
          <w:sz w:val="32"/>
          <w:szCs w:val="32"/>
          <w:u w:val="none" w:color="auto"/>
          <w:lang w:val="en-US" w:eastAsia="zh-CN" w:bidi="ar-SA"/>
        </w:rPr>
      </w:pPr>
      <w:r>
        <w:rPr>
          <w:rFonts w:hint="eastAsia" w:ascii="方正黑体_GBK" w:hAnsi="方正黑体_GBK" w:eastAsia="方正黑体_GBK" w:cs="方正黑体_GBK"/>
          <w:color w:val="000000"/>
          <w:kern w:val="2"/>
          <w:sz w:val="32"/>
          <w:szCs w:val="32"/>
          <w:u w:val="none" w:color="auto"/>
          <w:lang w:val="en-US" w:eastAsia="zh-CN" w:bidi="ar-SA"/>
        </w:rPr>
        <w:t>四、组织实施</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（二十）加强组织领导。</w:t>
      </w:r>
      <w:r>
        <w:rPr>
          <w:rFonts w:hint="eastAsia" w:ascii="方正仿宋_GBK" w:hAnsi="方正仿宋_GBK" w:eastAsia="方正仿宋_GBK" w:cs="方正仿宋_GBK"/>
          <w:color w:val="000000"/>
          <w:sz w:val="32"/>
          <w:szCs w:val="32"/>
        </w:rPr>
        <w:t>强化医养结合领导机制，健全政府主导、部门联动、社会参与、协同推进的工作机制，确保各项工作措施落到实处。各有关部门（单位）要各司其职，进一步加强协调配合，形成合力，推进医养结合发展。</w:t>
      </w:r>
    </w:p>
    <w:p>
      <w:pPr>
        <w:spacing w:beforeLines="0" w:afterLines="0"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（二十一）加强督促指导。</w:t>
      </w:r>
      <w:r>
        <w:rPr>
          <w:rFonts w:hint="eastAsia" w:ascii="方正仿宋_GBK" w:hAnsi="方正仿宋_GBK" w:eastAsia="方正仿宋_GBK" w:cs="方正仿宋_GBK"/>
          <w:color w:val="000000"/>
          <w:sz w:val="32"/>
          <w:szCs w:val="32"/>
        </w:rPr>
        <w:t>卫生健康、民政等有关部门要按照本方案，结合部门职责，将医养结合纳入本部门年度工作重点，加强对医养结合工作的日常监督管理，密切跟踪各地工作进展，适时开展工作督导，推动解决工作中的重大问题，及时总结推广好的经验和做法，不断完善相关政策，促进医养结合健康发展。</w:t>
      </w:r>
    </w:p>
    <w:p>
      <w:pPr>
        <w:pStyle w:val="3"/>
        <w:spacing w:beforeLines="0" w:afterLines="0" w:line="560" w:lineRule="exact"/>
        <w:rPr>
          <w:rFonts w:hint="eastAsia" w:ascii="方正仿宋_GBK" w:hAnsi="方正仿宋_GBK" w:eastAsia="方正仿宋_GBK" w:cs="方正仿宋_GBK"/>
          <w:color w:val="000000"/>
          <w:sz w:val="32"/>
          <w:szCs w:val="32"/>
        </w:rPr>
      </w:pPr>
    </w:p>
    <w:p>
      <w:pPr>
        <w:pStyle w:val="3"/>
        <w:spacing w:beforeLines="0" w:afterLines="0" w:line="560" w:lineRule="exact"/>
        <w:rPr>
          <w:rFonts w:hint="eastAsia" w:ascii="方正仿宋_GBK" w:hAnsi="方正仿宋_GBK" w:eastAsia="方正仿宋_GBK" w:cs="方正仿宋_GBK"/>
          <w:color w:val="000000"/>
          <w:sz w:val="32"/>
          <w:szCs w:val="32"/>
        </w:rPr>
      </w:pPr>
    </w:p>
    <w:p>
      <w:pPr>
        <w:pStyle w:val="2"/>
        <w:wordWrap w:val="0"/>
        <w:adjustRightInd w:val="0"/>
        <w:spacing w:before="0" w:beforeLines="0" w:beforeAutospacing="0" w:after="0" w:afterLines="0" w:line="560" w:lineRule="exact"/>
        <w:jc w:val="righ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重庆市北碚区卫生健康委员会        重庆市北碚区民政局</w:t>
      </w:r>
      <w:r>
        <w:rPr>
          <w:rFonts w:hint="eastAsia" w:ascii="方正仿宋_GBK" w:hAnsi="方正仿宋_GBK" w:eastAsia="方正仿宋_GBK" w:cs="方正仿宋_GBK"/>
          <w:color w:val="000000"/>
          <w:sz w:val="32"/>
          <w:szCs w:val="32"/>
          <w:lang w:val="en-US" w:eastAsia="zh-CN"/>
        </w:rPr>
        <w:t xml:space="preserve">  </w:t>
      </w:r>
    </w:p>
    <w:p>
      <w:pPr>
        <w:pStyle w:val="2"/>
        <w:adjustRightInd w:val="0"/>
        <w:spacing w:before="0" w:beforeLines="0" w:beforeAutospacing="0" w:after="0" w:afterLines="0" w:line="560" w:lineRule="exact"/>
        <w:ind w:firstLine="320" w:firstLineChars="100"/>
        <w:jc w:val="right"/>
        <w:rPr>
          <w:rFonts w:hint="eastAsia" w:ascii="方正仿宋_GBK" w:hAnsi="方正仿宋_GBK" w:eastAsia="方正仿宋_GBK" w:cs="方正仿宋_GBK"/>
          <w:color w:val="000000"/>
          <w:sz w:val="32"/>
          <w:szCs w:val="32"/>
        </w:rPr>
      </w:pPr>
    </w:p>
    <w:p>
      <w:pPr>
        <w:pStyle w:val="2"/>
        <w:adjustRightInd w:val="0"/>
        <w:spacing w:before="0" w:beforeLines="0" w:beforeAutospacing="0" w:after="0" w:afterLines="0" w:line="560" w:lineRule="exact"/>
        <w:jc w:val="right"/>
        <w:rPr>
          <w:rFonts w:hint="eastAsia" w:ascii="方正仿宋_GBK" w:hAnsi="方正仿宋_GBK" w:eastAsia="方正仿宋_GBK" w:cs="方正仿宋_GBK"/>
          <w:color w:val="000000"/>
          <w:sz w:val="32"/>
          <w:szCs w:val="32"/>
        </w:rPr>
      </w:pPr>
    </w:p>
    <w:p>
      <w:pPr>
        <w:pStyle w:val="2"/>
        <w:wordWrap w:val="0"/>
        <w:adjustRightInd w:val="0"/>
        <w:spacing w:before="0" w:beforeLines="0" w:beforeAutospacing="0" w:after="0" w:afterLines="0" w:line="560" w:lineRule="exact"/>
        <w:jc w:val="righ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重庆市北碚区发展和改革委员会  重庆市北碚区教育委员会</w:t>
      </w:r>
      <w:r>
        <w:rPr>
          <w:rFonts w:hint="eastAsia" w:ascii="方正仿宋_GBK" w:hAnsi="方正仿宋_GBK" w:eastAsia="方正仿宋_GBK" w:cs="方正仿宋_GBK"/>
          <w:color w:val="000000"/>
          <w:sz w:val="32"/>
          <w:szCs w:val="32"/>
          <w:lang w:val="en-US" w:eastAsia="zh-CN"/>
        </w:rPr>
        <w:t xml:space="preserve">  </w:t>
      </w:r>
    </w:p>
    <w:p>
      <w:pPr>
        <w:pStyle w:val="2"/>
        <w:adjustRightInd w:val="0"/>
        <w:spacing w:before="0" w:beforeLines="0" w:beforeAutospacing="0" w:after="0" w:afterLines="0" w:line="560" w:lineRule="exact"/>
        <w:ind w:firstLine="320" w:firstLineChars="100"/>
        <w:jc w:val="right"/>
        <w:rPr>
          <w:rFonts w:hint="eastAsia" w:ascii="方正仿宋_GBK" w:hAnsi="方正仿宋_GBK" w:eastAsia="方正仿宋_GBK" w:cs="方正仿宋_GBK"/>
          <w:color w:val="000000"/>
          <w:sz w:val="32"/>
          <w:szCs w:val="32"/>
        </w:rPr>
      </w:pPr>
    </w:p>
    <w:p>
      <w:pPr>
        <w:pStyle w:val="2"/>
        <w:adjustRightInd w:val="0"/>
        <w:spacing w:before="0" w:beforeLines="0" w:beforeAutospacing="0" w:after="0" w:afterLines="0" w:line="560" w:lineRule="exact"/>
        <w:ind w:firstLine="320" w:firstLineChars="100"/>
        <w:jc w:val="right"/>
        <w:rPr>
          <w:rFonts w:hint="eastAsia" w:ascii="方正仿宋_GBK" w:hAnsi="方正仿宋_GBK" w:eastAsia="方正仿宋_GBK" w:cs="方正仿宋_GBK"/>
          <w:color w:val="000000"/>
          <w:sz w:val="32"/>
          <w:szCs w:val="32"/>
        </w:rPr>
      </w:pPr>
      <w:bookmarkStart w:id="0" w:name="_GoBack"/>
      <w:bookmarkEnd w:id="0"/>
    </w:p>
    <w:p>
      <w:pPr>
        <w:pStyle w:val="2"/>
        <w:wordWrap w:val="0"/>
        <w:adjustRightInd w:val="0"/>
        <w:spacing w:before="0" w:beforeLines="0" w:beforeAutospacing="0" w:after="0" w:afterLines="0" w:line="560" w:lineRule="exact"/>
        <w:jc w:val="righ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重庆市北碚区财政局     重庆市北碚区人力资源和社会保障</w:t>
      </w:r>
      <w:r>
        <w:rPr>
          <w:rFonts w:hint="eastAsia" w:ascii="方正仿宋_GBK" w:hAnsi="方正仿宋_GBK" w:eastAsia="方正仿宋_GBK" w:cs="方正仿宋_GBK"/>
          <w:color w:val="000000"/>
          <w:sz w:val="32"/>
          <w:szCs w:val="32"/>
          <w:lang w:val="en-US" w:eastAsia="zh-CN"/>
        </w:rPr>
        <w:t xml:space="preserve">    </w:t>
      </w:r>
    </w:p>
    <w:p>
      <w:pPr>
        <w:pStyle w:val="2"/>
        <w:adjustRightInd w:val="0"/>
        <w:spacing w:before="0" w:beforeLines="0" w:beforeAutospacing="0" w:after="0" w:afterLines="0" w:line="560" w:lineRule="exact"/>
        <w:jc w:val="right"/>
        <w:rPr>
          <w:rFonts w:hint="eastAsia" w:ascii="方正仿宋_GBK" w:hAnsi="方正仿宋_GBK" w:eastAsia="方正仿宋_GBK" w:cs="方正仿宋_GBK"/>
          <w:color w:val="000000"/>
          <w:sz w:val="32"/>
          <w:szCs w:val="32"/>
        </w:rPr>
      </w:pPr>
    </w:p>
    <w:p>
      <w:pPr>
        <w:pStyle w:val="2"/>
        <w:wordWrap w:val="0"/>
        <w:adjustRightInd w:val="0"/>
        <w:spacing w:before="0" w:beforeLines="0" w:beforeAutospacing="0" w:after="0" w:afterLines="0" w:line="560" w:lineRule="exact"/>
        <w:jc w:val="right"/>
        <w:rPr>
          <w:rFonts w:hint="default" w:ascii="方正仿宋_GBK" w:hAnsi="方正仿宋_GBK" w:eastAsia="方正仿宋_GBK" w:cs="方正仿宋_GBK"/>
          <w:color w:val="000000"/>
          <w:spacing w:val="-20"/>
          <w:sz w:val="32"/>
          <w:szCs w:val="32"/>
          <w:lang w:val="en-US" w:eastAsia="zh-CN"/>
        </w:rPr>
      </w:pPr>
      <w:r>
        <w:rPr>
          <w:rFonts w:hint="eastAsia" w:ascii="方正仿宋_GBK" w:hAnsi="方正仿宋_GBK" w:eastAsia="方正仿宋_GBK" w:cs="方正仿宋_GBK"/>
          <w:color w:val="000000"/>
          <w:spacing w:val="-20"/>
          <w:sz w:val="32"/>
          <w:szCs w:val="32"/>
        </w:rPr>
        <w:t>重庆市北碚区规划和自然资源局 重庆市北碚区住房和城乡建设委员会</w:t>
      </w:r>
      <w:r>
        <w:rPr>
          <w:rFonts w:hint="eastAsia" w:ascii="方正仿宋_GBK" w:hAnsi="方正仿宋_GBK" w:eastAsia="方正仿宋_GBK" w:cs="方正仿宋_GBK"/>
          <w:color w:val="000000"/>
          <w:spacing w:val="-20"/>
          <w:sz w:val="32"/>
          <w:szCs w:val="32"/>
          <w:lang w:val="en-US" w:eastAsia="zh-CN"/>
        </w:rPr>
        <w:t xml:space="preserve">  </w:t>
      </w:r>
    </w:p>
    <w:p>
      <w:pPr>
        <w:pStyle w:val="2"/>
        <w:adjustRightInd w:val="0"/>
        <w:spacing w:before="0" w:beforeLines="0" w:beforeAutospacing="0" w:after="0" w:afterLines="0" w:line="560" w:lineRule="exact"/>
        <w:jc w:val="right"/>
        <w:rPr>
          <w:rFonts w:hint="eastAsia" w:ascii="方正仿宋_GBK" w:hAnsi="方正仿宋_GBK" w:eastAsia="方正仿宋_GBK" w:cs="方正仿宋_GBK"/>
          <w:color w:val="000000"/>
          <w:sz w:val="32"/>
          <w:szCs w:val="32"/>
        </w:rPr>
      </w:pPr>
    </w:p>
    <w:p>
      <w:pPr>
        <w:pStyle w:val="2"/>
        <w:adjustRightInd w:val="0"/>
        <w:spacing w:before="0" w:beforeLines="0" w:beforeAutospacing="0" w:after="0" w:afterLines="0" w:line="560" w:lineRule="exact"/>
        <w:jc w:val="right"/>
        <w:rPr>
          <w:rFonts w:hint="eastAsia" w:ascii="方正仿宋_GBK" w:hAnsi="方正仿宋_GBK" w:eastAsia="方正仿宋_GBK" w:cs="方正仿宋_GBK"/>
          <w:color w:val="000000"/>
          <w:sz w:val="32"/>
          <w:szCs w:val="32"/>
        </w:rPr>
      </w:pPr>
    </w:p>
    <w:p>
      <w:pPr>
        <w:pStyle w:val="2"/>
        <w:wordWrap w:val="0"/>
        <w:adjustRightInd w:val="0"/>
        <w:spacing w:before="0" w:beforeLines="0" w:beforeAutospacing="0" w:after="0" w:afterLines="0" w:line="560" w:lineRule="exact"/>
        <w:jc w:val="righ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重庆市北碚区市场监督管理局     重庆市北碚区医疗保障局</w:t>
      </w:r>
      <w:r>
        <w:rPr>
          <w:rFonts w:hint="eastAsia" w:ascii="方正仿宋_GBK" w:hAnsi="方正仿宋_GBK" w:eastAsia="方正仿宋_GBK" w:cs="方正仿宋_GBK"/>
          <w:color w:val="000000"/>
          <w:sz w:val="32"/>
          <w:szCs w:val="32"/>
          <w:lang w:val="en-US" w:eastAsia="zh-CN"/>
        </w:rPr>
        <w:t xml:space="preserve">  </w:t>
      </w:r>
    </w:p>
    <w:p>
      <w:pPr>
        <w:pStyle w:val="2"/>
        <w:adjustRightInd w:val="0"/>
        <w:spacing w:before="0" w:beforeLines="0" w:beforeAutospacing="0" w:after="0" w:afterLines="0" w:line="560" w:lineRule="exact"/>
        <w:ind w:firstLine="640" w:firstLineChars="200"/>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default" w:ascii="Times New Roman" w:hAnsi="Times New Roman" w:eastAsia="方正仿宋_GBK" w:cs="Times New Roman"/>
          <w:color w:val="000000"/>
          <w:sz w:val="32"/>
          <w:szCs w:val="32"/>
        </w:rPr>
        <w:t>2020</w:t>
      </w:r>
      <w:r>
        <w:rPr>
          <w:rFonts w:hint="eastAsia" w:ascii="方正仿宋_GBK" w:hAnsi="方正仿宋_GBK" w:eastAsia="方正仿宋_GBK" w:cs="方正仿宋_GBK"/>
          <w:color w:val="000000"/>
          <w:sz w:val="32"/>
          <w:szCs w:val="32"/>
        </w:rPr>
        <w:t>年</w:t>
      </w:r>
      <w:r>
        <w:rPr>
          <w:rFonts w:hint="default" w:ascii="Times New Roman" w:hAnsi="Times New Roman" w:eastAsia="方正仿宋_GBK" w:cs="Times New Roman"/>
          <w:color w:val="000000"/>
          <w:sz w:val="32"/>
          <w:szCs w:val="32"/>
        </w:rPr>
        <w:t>8</w:t>
      </w:r>
      <w:r>
        <w:rPr>
          <w:rFonts w:hint="eastAsia" w:ascii="方正仿宋_GBK" w:hAnsi="方正仿宋_GBK" w:eastAsia="方正仿宋_GBK" w:cs="方正仿宋_GBK"/>
          <w:color w:val="000000"/>
          <w:sz w:val="32"/>
          <w:szCs w:val="32"/>
        </w:rPr>
        <w:t>月</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日</w:t>
      </w:r>
    </w:p>
    <w:p>
      <w:pPr>
        <w:pStyle w:val="2"/>
        <w:adjustRightInd w:val="0"/>
        <w:spacing w:before="0" w:beforeLines="0" w:beforeAutospacing="0" w:after="0" w:afterLines="0" w:line="560" w:lineRule="exact"/>
        <w:ind w:firstLine="640" w:firstLineChars="200"/>
        <w:jc w:val="center"/>
        <w:rPr>
          <w:rFonts w:hint="eastAsia"/>
          <w:color w:val="000000"/>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VzYX7TAAAABw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XSS9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重庆市北碚区卫生健康委员会</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重庆市北碚区卫生健康委员会行政</w:t>
    </w:r>
    <w:r>
      <w:rPr>
        <w:rFonts w:hint="eastAsia" w:ascii="宋体" w:hAnsi="宋体" w:eastAsia="宋体" w:cs="宋体"/>
        <w:b/>
        <w:bCs/>
        <w:color w:val="005192"/>
        <w:sz w:val="32"/>
        <w:szCs w:val="32"/>
        <w:lang w:val="en-US" w:eastAsia="zh-Hans"/>
      </w:rPr>
      <w:t>规范性文件</w:t>
    </w:r>
  </w:p>
  <w:p>
    <w:pPr>
      <w:pStyle w:val="4"/>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GJg/tIAAAAGAQAADwAAAAAAAAABACAAAAAiAAAAZHJzL2Rvd25yZXYueG1sUEsBAhQAFAAAAAgA&#10;h07iQAXuux7yAQAAvQMAAA4AAAAAAAAAAQAgAAAAIQEAAGRycy9lMm9Eb2MueG1sUEsFBgAAAAAG&#10;AAYAWQEAAIU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OWFkZGQ5ZmMwNjk1N2I0YTdjOTA5M2QzZDEwZDkifQ=="/>
  </w:docVars>
  <w:rsids>
    <w:rsidRoot w:val="00172A27"/>
    <w:rsid w:val="0D5888FA"/>
    <w:rsid w:val="0FCC50D4"/>
    <w:rsid w:val="20E45E16"/>
    <w:rsid w:val="292531A5"/>
    <w:rsid w:val="2BC36E2F"/>
    <w:rsid w:val="30AB7C65"/>
    <w:rsid w:val="40E13EB9"/>
    <w:rsid w:val="4133056B"/>
    <w:rsid w:val="49DB607A"/>
    <w:rsid w:val="6B71265B"/>
    <w:rsid w:val="77DDA176"/>
    <w:rsid w:val="7A430EA6"/>
    <w:rsid w:val="7FDF2848"/>
    <w:rsid w:val="B9E3C28B"/>
    <w:rsid w:val="DF5B5348"/>
    <w:rsid w:val="EEFC8F07"/>
    <w:rsid w:val="FFDE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uppressAutoHyphens/>
      <w:spacing w:after="120"/>
    </w:pPr>
    <w:rPr>
      <w:rFonts w:ascii="Times New Roman" w:hAnsi="Times New Roman" w:eastAsia="宋体" w:cs="Times New Roman"/>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索引 51"/>
    <w:basedOn w:val="1"/>
    <w:next w:val="1"/>
    <w:autoRedefine/>
    <w:qFormat/>
    <w:uiPriority w:val="0"/>
    <w:pPr>
      <w:suppressAutoHyphens/>
      <w:ind w:left="1680"/>
    </w:pPr>
    <w:rPr>
      <w:rFonts w:ascii="Times New Roman" w:hAnsi="Times New Roman" w:eastAsia="宋体" w:cs="Times New Roman"/>
    </w:rPr>
  </w:style>
  <w:style w:type="paragraph" w:customStyle="1" w:styleId="8">
    <w:name w:val="默认"/>
    <w:autoRedefine/>
    <w:qFormat/>
    <w:uiPriority w:val="0"/>
    <w:rPr>
      <w:rFonts w:ascii="Helvetica" w:hAnsi="Helvetica" w:eastAsia="Helvetica" w:cs="Helvetica"/>
      <w:color w:val="000000"/>
      <w:sz w:val="22"/>
      <w:szCs w:val="22"/>
      <w:lang w:val="en-US" w:eastAsia="zh-CN" w:bidi="ar-SA"/>
    </w:rPr>
  </w:style>
  <w:style w:type="paragraph" w:customStyle="1" w:styleId="9">
    <w:name w:val="t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autoRedefine/>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6910</Words>
  <Characters>6942</Characters>
  <Lines>0</Lines>
  <Paragraphs>0</Paragraphs>
  <TotalTime>26</TotalTime>
  <ScaleCrop>false</ScaleCrop>
  <LinksUpToDate>false</LinksUpToDate>
  <CharactersWithSpaces>7007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水寒冰壁</cp:lastModifiedBy>
  <dcterms:modified xsi:type="dcterms:W3CDTF">2023-12-29T06:53:50Z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997AE7A7F78D414F9EB54B3EC3DDF896_13</vt:lpwstr>
  </property>
</Properties>
</file>