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5" w:beforeLines="200" w:line="260" w:lineRule="exact"/>
        <w:jc w:val="center"/>
        <w:rPr>
          <w:rFonts w:hint="default" w:ascii="Times New Roman" w:hAnsi="Times New Roman" w:eastAsia="方正小标宋_GBK" w:cs="Times New Roman"/>
          <w:color w:val="FF0000"/>
          <w:w w:val="34"/>
          <w:sz w:val="130"/>
        </w:rPr>
      </w:pPr>
    </w:p>
    <w:p>
      <w:pPr>
        <w:topLinePunct/>
        <w:spacing w:before="720" w:beforeLines="200" w:line="1800" w:lineRule="exact"/>
        <w:ind w:right="-153" w:rightChars="-73"/>
        <w:jc w:val="center"/>
        <w:rPr>
          <w:rFonts w:hint="default" w:ascii="Times New Roman" w:hAnsi="Times New Roman" w:eastAsia="方正大标宋_GBK" w:cs="Times New Roman"/>
          <w:b/>
          <w:color w:val="FF0000"/>
          <w:w w:val="50"/>
          <w:sz w:val="130"/>
        </w:rPr>
      </w:pPr>
      <w:r>
        <w:rPr>
          <w:rFonts w:hint="default" w:ascii="Times New Roman" w:hAnsi="Times New Roman" w:eastAsia="方正大标宋_GBK" w:cs="Times New Roman"/>
          <w:b/>
          <w:color w:val="FF0000"/>
          <w:w w:val="50"/>
          <w:sz w:val="130"/>
        </w:rPr>
        <w:t>重庆市北碚区卫生健康委员会</w:t>
      </w:r>
    </w:p>
    <w:p>
      <w:pPr>
        <w:spacing w:line="500" w:lineRule="exact"/>
        <w:rPr>
          <w:rFonts w:hint="default" w:ascii="Times New Roman" w:hAnsi="Times New Roman" w:eastAsia="方正仿宋_GBK" w:cs="Times New Roman"/>
          <w:sz w:val="32"/>
        </w:rPr>
      </w:pPr>
    </w:p>
    <w:p>
      <w:pPr>
        <w:spacing w:line="100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rPr>
        <w:t>北碚卫健</w:t>
      </w:r>
      <w:r>
        <w:rPr>
          <w:rFonts w:hint="default" w:ascii="Times New Roman" w:hAnsi="Times New Roman" w:eastAsia="方正仿宋_GBK" w:cs="Times New Roman"/>
          <w:sz w:val="32"/>
          <w:lang w:val="en-US" w:eastAsia="zh-CN"/>
        </w:rPr>
        <w:t>发</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11</w:t>
      </w:r>
      <w:r>
        <w:rPr>
          <w:rFonts w:hint="default" w:ascii="Times New Roman" w:hAnsi="Times New Roman" w:eastAsia="方正仿宋_GBK" w:cs="Times New Roman"/>
          <w:sz w:val="32"/>
        </w:rPr>
        <w:t>号</w:t>
      </w:r>
      <w:r>
        <w:rPr>
          <w:rFonts w:hint="default" w:ascii="Times New Roman" w:hAnsi="Times New Roman" w:cs="Times New Roman"/>
          <w:szCs w:val="2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633095</wp:posOffset>
                </wp:positionV>
                <wp:extent cx="5829300" cy="635"/>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829300" cy="635"/>
                        </a:xfrm>
                        <a:prstGeom prst="line">
                          <a:avLst/>
                        </a:prstGeom>
                        <a:ln w="158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0pt;margin-top:49.85pt;height:0.05pt;width:459pt;z-index:251665408;mso-width-relative:page;mso-height-relative:page;" filled="f" stroked="t" coordsize="21600,21600" o:gfxdata="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4j56fUAAAABgEAAA8A&#10;AAAAAAAAAQAgAAAAIgAAAGRycy9kb3ducmV2LnhtbFBLAQIUABQAAAAIAIdO4kAY0TT94gEAAKUD&#10;AAAOAAAAAAAAAAEAIAAAACMBAABkcnMvZTJvRG9jLnhtbFBLBQYAAAAABgAGAFkBAAB3BQAAAAA=&#10;">
                <v:fill on="f" focussize="0,0"/>
                <v:stroke weight="1.25pt" color="#FF0000" joinstyle="round"/>
                <v:imagedata o:title=""/>
                <o:lock v:ext="edit" aspectratio="f"/>
              </v:line>
            </w:pict>
          </mc:Fallback>
        </mc:AlternateContent>
      </w:r>
    </w:p>
    <w:p>
      <w:pPr>
        <w:keepNext w:val="0"/>
        <w:keepLines w:val="0"/>
        <w:pageBreakBefore w:val="0"/>
        <w:widowControl w:val="0"/>
        <w:tabs>
          <w:tab w:val="left" w:pos="5004"/>
        </w:tabs>
        <w:kinsoku/>
        <w:wordWrap/>
        <w:overflowPunct/>
        <w:topLinePunct w:val="0"/>
        <w:autoSpaceDN/>
        <w:bidi w:val="0"/>
        <w:adjustRightInd/>
        <w:snapToGrid/>
        <w:spacing w:afterAutospacing="0" w:line="560" w:lineRule="exact"/>
        <w:ind w:left="0" w:leftChars="0" w:right="0" w:rightChars="0"/>
        <w:textAlignment w:val="auto"/>
        <w:outlineLvl w:val="9"/>
        <w:rPr>
          <w:rFonts w:hint="default" w:ascii="Times New Roman" w:hAnsi="Times New Roman" w:eastAsia="Times New Roman" w:cs="Times New Roman"/>
          <w:b w:val="0"/>
          <w:bCs w:val="0"/>
          <w:color w:val="000000"/>
          <w:spacing w:val="0"/>
          <w:w w:val="100"/>
          <w:sz w:val="32"/>
        </w:rPr>
      </w:pPr>
    </w:p>
    <w:p>
      <w:pPr>
        <w:keepNext w:val="0"/>
        <w:keepLines w:val="0"/>
        <w:pageBreakBefore w:val="0"/>
        <w:widowControl w:val="0"/>
        <w:kinsoku/>
        <w:wordWrap/>
        <w:overflowPunct/>
        <w:topLinePunct w:val="0"/>
        <w:autoSpaceDE w:val="0"/>
        <w:autoSpaceDN/>
        <w:bidi w:val="0"/>
        <w:adjustRightInd/>
        <w:snapToGrid/>
        <w:spacing w:afterAutospacing="0" w:line="560" w:lineRule="exact"/>
        <w:ind w:left="0" w:leftChars="0" w:right="0" w:rightChars="0"/>
        <w:jc w:val="center"/>
        <w:textAlignment w:val="auto"/>
        <w:outlineLvl w:val="9"/>
        <w:rPr>
          <w:rFonts w:hint="default" w:ascii="Times New Roman" w:hAnsi="Times New Roman" w:eastAsia="方正小标宋_GBK" w:cs="Times New Roman"/>
          <w:b w:val="0"/>
          <w:bCs w:val="0"/>
          <w:spacing w:val="0"/>
          <w:w w:val="100"/>
          <w:kern w:val="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重庆市北碚卫生健康委员会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关于印发202</w:t>
      </w:r>
      <w:r>
        <w:rPr>
          <w:rFonts w:hint="eastAsia"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年北碚区城乡饮用水</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水龙头水质监测工作实施方案的通知</w:t>
      </w:r>
    </w:p>
    <w:bookmarkEnd w:id="0"/>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区疾控中心、区卫生健康综合行政执法支队：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年北碚区城乡饮用水水龙头水质监测工作实施方案》印发给你们，请遵照执行。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4160" w:firstLineChars="13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重庆市北碚区卫生健康委员会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rPr>
          <w:rFonts w:hint="default"/>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年北碚区城乡饮用水水龙头</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水质监测工作实施方案</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重庆市人民政府《贯彻落实国务院水污染防治行动计划实施方案》（渝府发2015第69号）和重庆市人民政府办公厅《关于印发2016年重庆市政务公开要点的通知》，以及《关于印发重庆市城市饮用水水龙头水质监测及水质安全状况信息公开专项工作方案的通知》（</w:t>
      </w:r>
      <w:r>
        <w:rPr>
          <w:rFonts w:hint="default" w:ascii="Times New Roman" w:hAnsi="Times New Roman" w:eastAsia="方正仿宋_GBK" w:cs="Times New Roman"/>
          <w:sz w:val="32"/>
          <w:szCs w:val="32"/>
        </w:rPr>
        <w:t>渝卫办爱卫发〔2016〕225号）、《关于进一步加强全市城市饮用水水龙头水水质监测及水质安全状况信息公开工作的通知》（委办2018-102）和《关于进一步加强城乡饮用水水龙头水质监测工作的通知》〔委办（2019-99）〕要求，</w:t>
      </w:r>
      <w:r>
        <w:rPr>
          <w:rFonts w:hint="default" w:ascii="Times New Roman" w:hAnsi="Times New Roman" w:eastAsia="方正仿宋_GBK" w:cs="Times New Roman"/>
          <w:color w:val="000000"/>
          <w:sz w:val="32"/>
          <w:szCs w:val="32"/>
        </w:rPr>
        <w:t>结合我区实际，制定本工作方案。</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一、监测内容和方法</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监测点设置</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1.城市：重庆市自来水有限公司北碚水厂（以下简称北碚水厂）设置</w:t>
      </w: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个，重庆市自来水有限公司井口水厂（以下简称井口水厂）设置1个，共计</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个出厂水监测点；在北温泉街道和朝阳街道各设置3个、天生街道、龙凤桥街道和歇马街道各设置1个，共计9个水龙头水监测点。监测点详见附件1。</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2.农村：重庆市碚江水务有限公司澄江水厂、重庆市碚江水务有限公司江东自来水厂，每个水厂设置出厂水和水龙头监测点各1个。设置的监测点见附件2。</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监测频次</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每季度检测1次。</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监测指标</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菌落总数、总大肠菌群、大肠埃希氏菌或耐热大肠菌群、色度、浑浊度、臭和味、耗氧量、肉眼可见物和消毒剂余量等9项指标。</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监测工作要求</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水样采集、保存、运输、检测严格按照《生活饮用水标准检验方法》（GB/T5750-2006）规定执行。各季度采样时间分别为2月、5月、8月和11月的第一周。</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检测结果评价标准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按照《生活饮用水卫生标准》（GB5749-2006）中表1、表2和表4规定限值进行评价。</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二、信息发布和结果报送</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楷体_GBK" w:cs="Times New Roman"/>
          <w:color w:val="000000"/>
          <w:kern w:val="2"/>
          <w:sz w:val="32"/>
          <w:szCs w:val="32"/>
        </w:rPr>
        <w:t>（一）信息发布。</w:t>
      </w:r>
      <w:r>
        <w:rPr>
          <w:rFonts w:hint="default" w:ascii="Times New Roman" w:hAnsi="Times New Roman" w:eastAsia="方正仿宋_GBK" w:cs="Times New Roman"/>
          <w:color w:val="000000"/>
          <w:kern w:val="2"/>
          <w:sz w:val="32"/>
          <w:szCs w:val="32"/>
        </w:rPr>
        <w:t>区卫生健康委于3月20日前、6月20日前、9月20日前和12月20日前，在区政府门户网站上公布每季度水龙头水监测结果</w:t>
      </w:r>
      <w:r>
        <w:rPr>
          <w:rFonts w:hint="default" w:ascii="Times New Roman" w:hAnsi="Times New Roman" w:eastAsia="方正仿宋_GBK" w:cs="Times New Roman"/>
          <w:color w:val="000000" w:themeColor="text1"/>
          <w:kern w:val="2"/>
          <w:sz w:val="32"/>
          <w:szCs w:val="32"/>
          <w14:textFill>
            <w14:solidFill>
              <w14:schemeClr w14:val="tx1"/>
            </w14:solidFill>
          </w14:textFill>
        </w:rPr>
        <w:t>（格式见附件5和附件6），并报市卫生健康委。</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（二）监测结果报送。</w:t>
      </w:r>
      <w:r>
        <w:rPr>
          <w:rFonts w:hint="default" w:ascii="Times New Roman" w:hAnsi="Times New Roman" w:eastAsia="方正仿宋_GBK" w:cs="Times New Roman"/>
          <w:color w:val="000000"/>
          <w:sz w:val="32"/>
          <w:szCs w:val="32"/>
        </w:rPr>
        <w:t>区疾控中心按季度将水质检测结果的电子版和纸质件（附件3～附件6）报区卫生健康委；全年水质检测结果电子件、纸质件（附件1～附件6）由区疾控中心统一整理报至市疾病预防控制中心（cqsltszjc@163.com），原始资料归档备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三、工作经费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该项工作为</w:t>
      </w:r>
      <w:r>
        <w:rPr>
          <w:rFonts w:hint="default" w:ascii="Times New Roman" w:hAnsi="Times New Roman" w:eastAsia="方正仿宋_GBK" w:cs="Times New Roman"/>
          <w:color w:val="000000"/>
          <w:sz w:val="32"/>
          <w:szCs w:val="32"/>
        </w:rPr>
        <w:t>基本公共卫生服务</w:t>
      </w:r>
      <w:r>
        <w:rPr>
          <w:rFonts w:hint="eastAsia" w:ascii="Times New Roman" w:hAnsi="Times New Roman" w:eastAsia="方正仿宋_GBK" w:cs="Times New Roman"/>
          <w:color w:val="000000"/>
          <w:sz w:val="32"/>
          <w:szCs w:val="32"/>
          <w:lang w:eastAsia="zh-CN"/>
        </w:rPr>
        <w:t>中的</w:t>
      </w:r>
      <w:r>
        <w:rPr>
          <w:rFonts w:hint="default" w:ascii="Times New Roman" w:hAnsi="Times New Roman" w:eastAsia="方正仿宋_GBK" w:cs="Times New Roman"/>
          <w:color w:val="000000"/>
          <w:sz w:val="32"/>
          <w:szCs w:val="32"/>
        </w:rPr>
        <w:t>重大疾病与健康危害因素监测</w:t>
      </w:r>
      <w:r>
        <w:rPr>
          <w:rFonts w:hint="eastAsia" w:ascii="Times New Roman" w:hAnsi="Times New Roman" w:eastAsia="方正仿宋_GBK" w:cs="Times New Roman"/>
          <w:color w:val="000000"/>
          <w:sz w:val="32"/>
          <w:szCs w:val="32"/>
          <w:lang w:eastAsia="zh-CN"/>
        </w:rPr>
        <w:t>的一项</w:t>
      </w:r>
      <w:r>
        <w:rPr>
          <w:rFonts w:hint="default" w:ascii="Times New Roman" w:hAnsi="Times New Roman" w:eastAsia="方正仿宋_GBK" w:cs="Times New Roman"/>
          <w:color w:val="000000"/>
          <w:sz w:val="32"/>
          <w:szCs w:val="32"/>
        </w:rPr>
        <w:t>工作</w:t>
      </w:r>
      <w:r>
        <w:rPr>
          <w:rFonts w:hint="eastAsia" w:ascii="Times New Roman" w:hAnsi="Times New Roman" w:eastAsia="方正仿宋_GBK" w:cs="Times New Roman"/>
          <w:color w:val="000000"/>
          <w:sz w:val="32"/>
          <w:szCs w:val="32"/>
          <w:lang w:eastAsia="zh-CN"/>
        </w:rPr>
        <w:t>，与监测工作有关的试剂、耗材、培训等支出从基本公共卫生服务经费中列支。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四、工作职责</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（一）区卫生健康委负责水龙头水质安全信息公开专项工作的组织领导、协调，落实专项监测工作经费，确保水龙头水质安全信息公开专项工作的顺利实施；负责在北碚区人民政府门户网站公布末梢水监测结果；</w:t>
      </w:r>
      <w:r>
        <w:rPr>
          <w:rFonts w:hint="default" w:ascii="Times New Roman" w:hAnsi="Times New Roman" w:eastAsia="方正仿宋_GBK" w:cs="Times New Roman"/>
          <w:color w:val="000000" w:themeColor="text1"/>
          <w:sz w:val="32"/>
          <w:szCs w:val="32"/>
          <w14:textFill>
            <w14:solidFill>
              <w14:schemeClr w14:val="tx1"/>
            </w14:solidFill>
          </w14:textFill>
        </w:rPr>
        <w:t>对公众提出的疑问咨询进行解答回复。</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sz w:val="32"/>
          <w:szCs w:val="32"/>
        </w:rPr>
        <w:t>（二）</w:t>
      </w:r>
      <w:r>
        <w:rPr>
          <w:rFonts w:hint="default" w:ascii="Times New Roman" w:hAnsi="Times New Roman" w:eastAsia="方正仿宋_GBK" w:cs="Times New Roman"/>
          <w:color w:val="000000" w:themeColor="text1"/>
          <w:sz w:val="32"/>
          <w:szCs w:val="32"/>
          <w14:textFill>
            <w14:solidFill>
              <w14:schemeClr w14:val="tx1"/>
            </w14:solidFill>
          </w14:textFill>
        </w:rPr>
        <w:t>区卫生健康综合执法支队负责对水质卫生不达标的供水单位，依照有关法律法规加强监督和管理。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（三）区疾病预防控制中心负责辖区内水样采集、实验室检测、质量控制、检测结果、数据统计分析上报等工作。</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附件：1.北碚区水龙头水质监测监测点设置（城市）</w:t>
      </w:r>
    </w:p>
    <w:p>
      <w:pPr>
        <w:keepNext w:val="0"/>
        <w:keepLines w:val="0"/>
        <w:pageBreakBefore w:val="0"/>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2.北碚区水龙头水质监测监测点设置（农村）</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3.北碚区202</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年季度出厂水水质信息表（城市）</w:t>
      </w:r>
    </w:p>
    <w:p>
      <w:pPr>
        <w:keepNext w:val="0"/>
        <w:keepLines w:val="0"/>
        <w:pageBreakBefore w:val="0"/>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4.北碚区202</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年季度出厂水水质信息表（农村）</w:t>
      </w:r>
    </w:p>
    <w:p>
      <w:pPr>
        <w:keepNext w:val="0"/>
        <w:keepLines w:val="0"/>
        <w:pageBreakBefore w:val="0"/>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5.北碚区202</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年季度水龙头水质信息公布表（城市）</w:t>
      </w:r>
    </w:p>
    <w:p>
      <w:pPr>
        <w:keepNext w:val="0"/>
        <w:keepLines w:val="0"/>
        <w:pageBreakBefore w:val="0"/>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6.北碚区202</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年季度水龙头水质信息公布表（农村）</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北碚区水龙头水质监测监测点设置（城市）</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tbl>
      <w:tblPr>
        <w:tblStyle w:val="9"/>
        <w:tblW w:w="919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3"/>
        <w:gridCol w:w="3402"/>
        <w:gridCol w:w="1134"/>
        <w:gridCol w:w="1559"/>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jc w:val="center"/>
        </w:trPr>
        <w:tc>
          <w:tcPr>
            <w:tcW w:w="693" w:type="dxa"/>
            <w:vAlign w:val="center"/>
          </w:tcPr>
          <w:p>
            <w:pPr>
              <w:spacing w:line="32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序号</w:t>
            </w:r>
          </w:p>
        </w:tc>
        <w:tc>
          <w:tcPr>
            <w:tcW w:w="3402" w:type="dxa"/>
            <w:vAlign w:val="center"/>
          </w:tcPr>
          <w:p>
            <w:pPr>
              <w:spacing w:line="32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市政水厂</w:t>
            </w:r>
          </w:p>
        </w:tc>
        <w:tc>
          <w:tcPr>
            <w:tcW w:w="1134" w:type="dxa"/>
            <w:vAlign w:val="center"/>
          </w:tcPr>
          <w:p>
            <w:pPr>
              <w:spacing w:line="320" w:lineRule="exact"/>
              <w:jc w:val="center"/>
              <w:rPr>
                <w:rFonts w:hint="default" w:ascii="Times New Roman" w:hAnsi="Times New Roman" w:eastAsia="方正黑体_GBK" w:cs="Times New Roman"/>
                <w:color w:val="000000" w:themeColor="text1"/>
                <w:szCs w:val="21"/>
                <w14:textFill>
                  <w14:solidFill>
                    <w14:schemeClr w14:val="tx1"/>
                  </w14:solidFill>
                </w14:textFill>
              </w:rPr>
            </w:pPr>
            <w:r>
              <w:rPr>
                <w:rFonts w:hint="default" w:ascii="Times New Roman" w:hAnsi="Times New Roman" w:eastAsia="方正黑体_GBK" w:cs="Times New Roman"/>
                <w:color w:val="000000" w:themeColor="text1"/>
                <w:szCs w:val="21"/>
                <w14:textFill>
                  <w14:solidFill>
                    <w14:schemeClr w14:val="tx1"/>
                  </w14:solidFill>
                </w14:textFill>
              </w:rPr>
              <w:t>供水规模</w:t>
            </w:r>
          </w:p>
          <w:p>
            <w:pPr>
              <w:spacing w:line="320" w:lineRule="exact"/>
              <w:jc w:val="center"/>
              <w:rPr>
                <w:rFonts w:hint="default" w:ascii="Times New Roman" w:hAnsi="Times New Roman" w:eastAsia="方正黑体_GBK" w:cs="Times New Roman"/>
                <w:color w:val="000000" w:themeColor="text1"/>
                <w:szCs w:val="21"/>
                <w14:textFill>
                  <w14:solidFill>
                    <w14:schemeClr w14:val="tx1"/>
                  </w14:solidFill>
                </w14:textFill>
              </w:rPr>
            </w:pPr>
            <w:r>
              <w:rPr>
                <w:rFonts w:hint="default" w:ascii="Times New Roman" w:hAnsi="Times New Roman" w:eastAsia="方正黑体_GBK" w:cs="Times New Roman"/>
                <w:color w:val="000000" w:themeColor="text1"/>
                <w:szCs w:val="21"/>
                <w14:textFill>
                  <w14:solidFill>
                    <w14:schemeClr w14:val="tx1"/>
                  </w14:solidFill>
                </w14:textFill>
              </w:rPr>
              <w:t>（m</w:t>
            </w:r>
            <w:r>
              <w:rPr>
                <w:rFonts w:hint="default" w:ascii="Times New Roman" w:hAnsi="Times New Roman" w:eastAsia="方正黑体_GBK" w:cs="Times New Roman"/>
                <w:color w:val="000000" w:themeColor="text1"/>
                <w:szCs w:val="21"/>
                <w:vertAlign w:val="superscript"/>
                <w14:textFill>
                  <w14:solidFill>
                    <w14:schemeClr w14:val="tx1"/>
                  </w14:solidFill>
                </w14:textFill>
              </w:rPr>
              <w:t>3</w:t>
            </w:r>
            <w:r>
              <w:rPr>
                <w:rFonts w:hint="default" w:ascii="Times New Roman" w:hAnsi="Times New Roman" w:eastAsia="方正黑体_GBK" w:cs="Times New Roman"/>
                <w:color w:val="000000" w:themeColor="text1"/>
                <w:szCs w:val="21"/>
                <w14:textFill>
                  <w14:solidFill>
                    <w14:schemeClr w14:val="tx1"/>
                  </w14:solidFill>
                </w14:textFill>
              </w:rPr>
              <w:t>/日)</w:t>
            </w:r>
          </w:p>
        </w:tc>
        <w:tc>
          <w:tcPr>
            <w:tcW w:w="1559" w:type="dxa"/>
            <w:vAlign w:val="center"/>
          </w:tcPr>
          <w:p>
            <w:pPr>
              <w:spacing w:line="32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水样类型</w:t>
            </w:r>
          </w:p>
          <w:p>
            <w:pPr>
              <w:pStyle w:val="3"/>
              <w:spacing w:line="32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（出厂水/末梢水）</w:t>
            </w:r>
          </w:p>
        </w:tc>
        <w:tc>
          <w:tcPr>
            <w:tcW w:w="2410" w:type="dxa"/>
            <w:vAlign w:val="center"/>
          </w:tcPr>
          <w:p>
            <w:pPr>
              <w:spacing w:line="320" w:lineRule="exact"/>
              <w:jc w:val="center"/>
              <w:rPr>
                <w:rFonts w:hint="default" w:ascii="Times New Roman" w:hAnsi="Times New Roman" w:eastAsia="方正黑体_GBK" w:cs="Times New Roman"/>
                <w:color w:val="000000" w:themeColor="text1"/>
                <w:szCs w:val="21"/>
                <w14:textFill>
                  <w14:solidFill>
                    <w14:schemeClr w14:val="tx1"/>
                  </w14:solidFill>
                </w14:textFill>
              </w:rPr>
            </w:pPr>
            <w:r>
              <w:rPr>
                <w:rFonts w:hint="default" w:ascii="Times New Roman" w:hAnsi="Times New Roman" w:eastAsia="方正黑体_GBK" w:cs="Times New Roman"/>
                <w:color w:val="000000" w:themeColor="text1"/>
                <w:szCs w:val="21"/>
                <w14:textFill>
                  <w14:solidFill>
                    <w14:schemeClr w14:val="tx1"/>
                  </w14:solidFill>
                </w14:textFill>
              </w:rPr>
              <w:t>监测地点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9" w:hRule="atLeast"/>
          <w:jc w:val="center"/>
        </w:trPr>
        <w:tc>
          <w:tcPr>
            <w:tcW w:w="693"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3402"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重庆市自来水有限公司北碚水厂</w:t>
            </w:r>
          </w:p>
        </w:tc>
        <w:tc>
          <w:tcPr>
            <w:tcW w:w="1134"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Cs w:val="21"/>
                <w:lang w:val="en-US" w:eastAsia="zh-CN"/>
              </w:rPr>
              <w:t>90000</w:t>
            </w:r>
          </w:p>
        </w:tc>
        <w:tc>
          <w:tcPr>
            <w:tcW w:w="1559"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出厂水</w:t>
            </w:r>
          </w:p>
        </w:tc>
        <w:tc>
          <w:tcPr>
            <w:tcW w:w="2410"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北碚区北泉路团山堡1号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9" w:hRule="atLeast"/>
          <w:jc w:val="center"/>
        </w:trPr>
        <w:tc>
          <w:tcPr>
            <w:tcW w:w="693"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3402"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Cs w:val="21"/>
              </w:rPr>
              <w:t>重庆市自来水有限公司井口水厂</w:t>
            </w:r>
          </w:p>
        </w:tc>
        <w:tc>
          <w:tcPr>
            <w:tcW w:w="1134"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200000</w:t>
            </w:r>
          </w:p>
        </w:tc>
        <w:tc>
          <w:tcPr>
            <w:tcW w:w="1559"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出厂水</w:t>
            </w:r>
          </w:p>
        </w:tc>
        <w:tc>
          <w:tcPr>
            <w:tcW w:w="2410"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北碚区同兴工业园区一支部24号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atLeast"/>
          <w:jc w:val="center"/>
        </w:trPr>
        <w:tc>
          <w:tcPr>
            <w:tcW w:w="693"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c>
          <w:tcPr>
            <w:tcW w:w="3402" w:type="dxa"/>
            <w:vAlign w:val="center"/>
          </w:tcPr>
          <w:p>
            <w:pPr>
              <w:spacing w:line="320" w:lineRule="exact"/>
              <w:jc w:val="cente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重庆市自来水有限公司北碚水厂</w:t>
            </w:r>
          </w:p>
        </w:tc>
        <w:tc>
          <w:tcPr>
            <w:tcW w:w="1134" w:type="dxa"/>
            <w:vAlign w:val="center"/>
          </w:tcPr>
          <w:p>
            <w:pPr>
              <w:spacing w:line="320" w:lineRule="exact"/>
              <w:jc w:val="cente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w:t>
            </w:r>
          </w:p>
        </w:tc>
        <w:tc>
          <w:tcPr>
            <w:tcW w:w="1559" w:type="dxa"/>
            <w:vAlign w:val="center"/>
          </w:tcPr>
          <w:p>
            <w:pPr>
              <w:spacing w:line="320" w:lineRule="exact"/>
              <w:jc w:val="cente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末梢水</w:t>
            </w:r>
          </w:p>
        </w:tc>
        <w:tc>
          <w:tcPr>
            <w:tcW w:w="2410" w:type="dxa"/>
            <w:vAlign w:val="center"/>
          </w:tcPr>
          <w:p>
            <w:pPr>
              <w:spacing w:line="320" w:lineRule="exact"/>
              <w:jc w:val="cente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学府小区物管处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5" w:hRule="atLeast"/>
          <w:jc w:val="center"/>
        </w:trPr>
        <w:tc>
          <w:tcPr>
            <w:tcW w:w="693"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w:t>
            </w:r>
          </w:p>
        </w:tc>
        <w:tc>
          <w:tcPr>
            <w:tcW w:w="3402"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Cs w:val="21"/>
              </w:rPr>
              <w:t>重庆市自来水有限公司北碚水厂</w:t>
            </w:r>
          </w:p>
        </w:tc>
        <w:tc>
          <w:tcPr>
            <w:tcW w:w="1134"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w:t>
            </w:r>
          </w:p>
        </w:tc>
        <w:tc>
          <w:tcPr>
            <w:tcW w:w="1559"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末梢水</w:t>
            </w:r>
          </w:p>
        </w:tc>
        <w:tc>
          <w:tcPr>
            <w:tcW w:w="2410"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永辉超市（文星湾旺德旺城店）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jc w:val="center"/>
        </w:trPr>
        <w:tc>
          <w:tcPr>
            <w:tcW w:w="693"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w:t>
            </w:r>
          </w:p>
        </w:tc>
        <w:tc>
          <w:tcPr>
            <w:tcW w:w="3402"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Cs w:val="21"/>
              </w:rPr>
              <w:t>重庆市自来水有限公司北碚水厂</w:t>
            </w:r>
          </w:p>
        </w:tc>
        <w:tc>
          <w:tcPr>
            <w:tcW w:w="1134"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w:t>
            </w:r>
          </w:p>
        </w:tc>
        <w:tc>
          <w:tcPr>
            <w:tcW w:w="1559"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末梢水</w:t>
            </w:r>
          </w:p>
        </w:tc>
        <w:tc>
          <w:tcPr>
            <w:tcW w:w="2410"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kern w:val="0"/>
                <w:szCs w:val="21"/>
              </w:rPr>
              <w:t>北泉花园物管处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693"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6</w:t>
            </w:r>
          </w:p>
        </w:tc>
        <w:tc>
          <w:tcPr>
            <w:tcW w:w="3402"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Cs w:val="21"/>
              </w:rPr>
              <w:t>重庆市自来水有限公司北碚水厂</w:t>
            </w:r>
          </w:p>
        </w:tc>
        <w:tc>
          <w:tcPr>
            <w:tcW w:w="1134"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w:t>
            </w:r>
          </w:p>
        </w:tc>
        <w:tc>
          <w:tcPr>
            <w:tcW w:w="1559"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末梢水</w:t>
            </w:r>
          </w:p>
        </w:tc>
        <w:tc>
          <w:tcPr>
            <w:tcW w:w="2410"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重庆自然博物馆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693"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w:t>
            </w:r>
          </w:p>
        </w:tc>
        <w:tc>
          <w:tcPr>
            <w:tcW w:w="3402"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color w:val="000000"/>
                <w:szCs w:val="21"/>
              </w:rPr>
              <w:t>重庆市自来水有限公司北碚水厂</w:t>
            </w:r>
          </w:p>
        </w:tc>
        <w:tc>
          <w:tcPr>
            <w:tcW w:w="1134"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559"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末梢水</w:t>
            </w:r>
          </w:p>
        </w:tc>
        <w:tc>
          <w:tcPr>
            <w:tcW w:w="2410"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Cs w:val="21"/>
              </w:rPr>
              <w:t>重庆市北碚区政府旁食堂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1" w:hRule="atLeast"/>
          <w:jc w:val="center"/>
        </w:trPr>
        <w:tc>
          <w:tcPr>
            <w:tcW w:w="693"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w:t>
            </w:r>
          </w:p>
        </w:tc>
        <w:tc>
          <w:tcPr>
            <w:tcW w:w="3402"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Cs w:val="21"/>
              </w:rPr>
              <w:t>重庆市自来水有限公司北碚水厂</w:t>
            </w:r>
          </w:p>
        </w:tc>
        <w:tc>
          <w:tcPr>
            <w:tcW w:w="1134"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w:t>
            </w:r>
          </w:p>
        </w:tc>
        <w:tc>
          <w:tcPr>
            <w:tcW w:w="1559"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末梢水</w:t>
            </w:r>
          </w:p>
        </w:tc>
        <w:tc>
          <w:tcPr>
            <w:tcW w:w="2410"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themeColor="text1"/>
                <w:kern w:val="0"/>
                <w:szCs w:val="21"/>
                <w14:textFill>
                  <w14:solidFill>
                    <w14:schemeClr w14:val="tx1"/>
                  </w14:solidFill>
                </w14:textFill>
              </w:rPr>
              <w:t>歇马支路21号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5" w:hRule="atLeast"/>
          <w:jc w:val="center"/>
        </w:trPr>
        <w:tc>
          <w:tcPr>
            <w:tcW w:w="693"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9</w:t>
            </w:r>
          </w:p>
        </w:tc>
        <w:tc>
          <w:tcPr>
            <w:tcW w:w="3402"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themeColor="text1"/>
                <w:szCs w:val="21"/>
                <w14:textFill>
                  <w14:solidFill>
                    <w14:schemeClr w14:val="tx1"/>
                  </w14:solidFill>
                </w14:textFill>
              </w:rPr>
              <w:t>重庆市自来水有限公司北碚水厂</w:t>
            </w:r>
          </w:p>
        </w:tc>
        <w:tc>
          <w:tcPr>
            <w:tcW w:w="1134"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w:t>
            </w:r>
          </w:p>
        </w:tc>
        <w:tc>
          <w:tcPr>
            <w:tcW w:w="1559"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末梢水</w:t>
            </w:r>
          </w:p>
        </w:tc>
        <w:tc>
          <w:tcPr>
            <w:tcW w:w="2410"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kern w:val="0"/>
                <w:szCs w:val="21"/>
              </w:rPr>
              <w:t>北碚区西南大学楠园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atLeast"/>
          <w:jc w:val="center"/>
        </w:trPr>
        <w:tc>
          <w:tcPr>
            <w:tcW w:w="693"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3402"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Cs w:val="21"/>
              </w:rPr>
              <w:t>重庆市自来水有限公司北碚水厂</w:t>
            </w:r>
          </w:p>
        </w:tc>
        <w:tc>
          <w:tcPr>
            <w:tcW w:w="1134"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w:t>
            </w:r>
          </w:p>
        </w:tc>
        <w:tc>
          <w:tcPr>
            <w:tcW w:w="1559"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末梢水</w:t>
            </w:r>
          </w:p>
        </w:tc>
        <w:tc>
          <w:tcPr>
            <w:tcW w:w="2410"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kern w:val="0"/>
                <w:szCs w:val="21"/>
              </w:rPr>
              <w:t>北碚区龙凤三村40号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atLeast"/>
          <w:jc w:val="center"/>
        </w:trPr>
        <w:tc>
          <w:tcPr>
            <w:tcW w:w="693"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11</w:t>
            </w:r>
          </w:p>
        </w:tc>
        <w:tc>
          <w:tcPr>
            <w:tcW w:w="3402"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Cs w:val="21"/>
              </w:rPr>
              <w:t>重庆市自来水有限公司北碚水厂</w:t>
            </w:r>
          </w:p>
        </w:tc>
        <w:tc>
          <w:tcPr>
            <w:tcW w:w="1134"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w:t>
            </w:r>
          </w:p>
        </w:tc>
        <w:tc>
          <w:tcPr>
            <w:tcW w:w="1559"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末梢水</w:t>
            </w:r>
          </w:p>
        </w:tc>
        <w:tc>
          <w:tcPr>
            <w:tcW w:w="2410" w:type="dxa"/>
            <w:vAlign w:val="center"/>
          </w:tcPr>
          <w:p>
            <w:pPr>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themeColor="text1"/>
                <w:szCs w:val="21"/>
                <w14:textFill>
                  <w14:solidFill>
                    <w14:schemeClr w14:val="tx1"/>
                  </w14:solidFill>
                </w14:textFill>
              </w:rPr>
              <w:t>北碚区碚峡东路51号</w:t>
            </w:r>
          </w:p>
        </w:tc>
      </w:tr>
    </w:tbl>
    <w:p>
      <w:pPr>
        <w:spacing w:line="560" w:lineRule="exact"/>
        <w:jc w:val="left"/>
        <w:rPr>
          <w:rFonts w:hint="default" w:ascii="Times New Roman" w:hAnsi="Times New Roman" w:eastAsia="方正黑体_GBK" w:cs="Times New Roman"/>
          <w:sz w:val="32"/>
          <w:szCs w:val="32"/>
        </w:rPr>
      </w:pPr>
    </w:p>
    <w:p>
      <w:pPr>
        <w:pStyle w:val="3"/>
        <w:rPr>
          <w:rFonts w:hint="default"/>
        </w:rPr>
      </w:pPr>
    </w:p>
    <w:p>
      <w:pPr>
        <w:rPr>
          <w:rFonts w:hint="default"/>
        </w:rPr>
      </w:pPr>
    </w:p>
    <w:p>
      <w:pPr>
        <w:spacing w:line="560" w:lineRule="exact"/>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北碚区水龙头水质监测监测点设置（农村）</w:t>
      </w:r>
    </w:p>
    <w:p>
      <w:pPr>
        <w:pStyle w:val="3"/>
        <w:spacing w:line="560" w:lineRule="exact"/>
        <w:rPr>
          <w:rFonts w:hint="default" w:ascii="Times New Roman" w:hAnsi="Times New Roman" w:cs="Times New Roman"/>
        </w:rPr>
      </w:pPr>
    </w:p>
    <w:tbl>
      <w:tblPr>
        <w:tblStyle w:val="9"/>
        <w:tblW w:w="89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2308"/>
        <w:gridCol w:w="1387"/>
        <w:gridCol w:w="2173"/>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82" w:type="dxa"/>
            <w:vAlign w:val="center"/>
          </w:tcPr>
          <w:p>
            <w:pPr>
              <w:spacing w:line="40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序号</w:t>
            </w:r>
          </w:p>
        </w:tc>
        <w:tc>
          <w:tcPr>
            <w:tcW w:w="2308" w:type="dxa"/>
            <w:vAlign w:val="center"/>
          </w:tcPr>
          <w:p>
            <w:pPr>
              <w:spacing w:line="40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农村集中式供水</w:t>
            </w:r>
          </w:p>
        </w:tc>
        <w:tc>
          <w:tcPr>
            <w:tcW w:w="1387" w:type="dxa"/>
            <w:vAlign w:val="center"/>
          </w:tcPr>
          <w:p>
            <w:pPr>
              <w:spacing w:line="400" w:lineRule="exact"/>
              <w:jc w:val="center"/>
              <w:rPr>
                <w:rFonts w:hint="default" w:ascii="Times New Roman" w:hAnsi="Times New Roman" w:eastAsia="方正黑体_GBK" w:cs="Times New Roman"/>
                <w:color w:val="000000" w:themeColor="text1"/>
                <w:szCs w:val="21"/>
                <w14:textFill>
                  <w14:solidFill>
                    <w14:schemeClr w14:val="tx1"/>
                  </w14:solidFill>
                </w14:textFill>
              </w:rPr>
            </w:pPr>
            <w:r>
              <w:rPr>
                <w:rFonts w:hint="default" w:ascii="Times New Roman" w:hAnsi="Times New Roman" w:eastAsia="方正黑体_GBK" w:cs="Times New Roman"/>
                <w:color w:val="000000" w:themeColor="text1"/>
                <w:szCs w:val="21"/>
                <w14:textFill>
                  <w14:solidFill>
                    <w14:schemeClr w14:val="tx1"/>
                  </w14:solidFill>
                </w14:textFill>
              </w:rPr>
              <w:t>供水规模（m</w:t>
            </w:r>
            <w:r>
              <w:rPr>
                <w:rFonts w:hint="default" w:ascii="Times New Roman" w:hAnsi="Times New Roman" w:eastAsia="方正黑体_GBK" w:cs="Times New Roman"/>
                <w:color w:val="000000" w:themeColor="text1"/>
                <w:szCs w:val="21"/>
                <w:vertAlign w:val="superscript"/>
                <w14:textFill>
                  <w14:solidFill>
                    <w14:schemeClr w14:val="tx1"/>
                  </w14:solidFill>
                </w14:textFill>
              </w:rPr>
              <w:t>3</w:t>
            </w:r>
            <w:r>
              <w:rPr>
                <w:rFonts w:hint="default" w:ascii="Times New Roman" w:hAnsi="Times New Roman" w:eastAsia="方正黑体_GBK" w:cs="Times New Roman"/>
                <w:color w:val="000000" w:themeColor="text1"/>
                <w:szCs w:val="21"/>
                <w14:textFill>
                  <w14:solidFill>
                    <w14:schemeClr w14:val="tx1"/>
                  </w14:solidFill>
                </w14:textFill>
              </w:rPr>
              <w:t>/日)</w:t>
            </w:r>
          </w:p>
        </w:tc>
        <w:tc>
          <w:tcPr>
            <w:tcW w:w="2173" w:type="dxa"/>
            <w:vAlign w:val="center"/>
          </w:tcPr>
          <w:p>
            <w:pPr>
              <w:spacing w:line="400" w:lineRule="exact"/>
              <w:jc w:val="center"/>
              <w:rPr>
                <w:rFonts w:hint="default" w:ascii="Times New Roman" w:hAnsi="Times New Roman" w:eastAsia="方正黑体_GBK" w:cs="Times New Roman"/>
                <w:color w:val="000000" w:themeColor="text1"/>
                <w:szCs w:val="21"/>
                <w14:textFill>
                  <w14:solidFill>
                    <w14:schemeClr w14:val="tx1"/>
                  </w14:solidFill>
                </w14:textFill>
              </w:rPr>
            </w:pPr>
            <w:r>
              <w:rPr>
                <w:rFonts w:hint="default" w:ascii="Times New Roman" w:hAnsi="Times New Roman" w:eastAsia="方正黑体_GBK" w:cs="Times New Roman"/>
                <w:color w:val="000000" w:themeColor="text1"/>
                <w:szCs w:val="21"/>
                <w14:textFill>
                  <w14:solidFill>
                    <w14:schemeClr w14:val="tx1"/>
                  </w14:solidFill>
                </w14:textFill>
              </w:rPr>
              <w:t>水样类型</w:t>
            </w:r>
          </w:p>
          <w:p>
            <w:pPr>
              <w:spacing w:line="400" w:lineRule="exact"/>
              <w:jc w:val="center"/>
              <w:rPr>
                <w:rFonts w:hint="default" w:ascii="Times New Roman" w:hAnsi="Times New Roman" w:eastAsia="方正黑体_GBK" w:cs="Times New Roman"/>
                <w:color w:val="000000" w:themeColor="text1"/>
                <w:szCs w:val="21"/>
                <w14:textFill>
                  <w14:solidFill>
                    <w14:schemeClr w14:val="tx1"/>
                  </w14:solidFill>
                </w14:textFill>
              </w:rPr>
            </w:pPr>
            <w:r>
              <w:rPr>
                <w:rFonts w:hint="default" w:ascii="Times New Roman" w:hAnsi="Times New Roman" w:eastAsia="方正黑体_GBK" w:cs="Times New Roman"/>
                <w:color w:val="000000" w:themeColor="text1"/>
                <w:szCs w:val="21"/>
                <w14:textFill>
                  <w14:solidFill>
                    <w14:schemeClr w14:val="tx1"/>
                  </w14:solidFill>
                </w14:textFill>
              </w:rPr>
              <w:t>（出厂水/末梢水）</w:t>
            </w:r>
          </w:p>
        </w:tc>
        <w:tc>
          <w:tcPr>
            <w:tcW w:w="2340" w:type="dxa"/>
            <w:vAlign w:val="center"/>
          </w:tcPr>
          <w:p>
            <w:pPr>
              <w:spacing w:line="400" w:lineRule="exact"/>
              <w:jc w:val="center"/>
              <w:rPr>
                <w:rFonts w:hint="default" w:ascii="Times New Roman" w:hAnsi="Times New Roman" w:eastAsia="方正黑体_GBK" w:cs="Times New Roman"/>
                <w:color w:val="000000" w:themeColor="text1"/>
                <w:szCs w:val="21"/>
                <w14:textFill>
                  <w14:solidFill>
                    <w14:schemeClr w14:val="tx1"/>
                  </w14:solidFill>
                </w14:textFill>
              </w:rPr>
            </w:pPr>
            <w:r>
              <w:rPr>
                <w:rFonts w:hint="default" w:ascii="Times New Roman" w:hAnsi="Times New Roman" w:eastAsia="方正黑体_GBK" w:cs="Times New Roman"/>
                <w:color w:val="000000" w:themeColor="text1"/>
                <w:szCs w:val="21"/>
                <w14:textFill>
                  <w14:solidFill>
                    <w14:schemeClr w14:val="tx1"/>
                  </w14:solidFill>
                </w14:textFill>
              </w:rPr>
              <w:t>监测地点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6" w:hRule="atLeast"/>
          <w:jc w:val="center"/>
        </w:trPr>
        <w:tc>
          <w:tcPr>
            <w:tcW w:w="782"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2308" w:type="dxa"/>
            <w:vAlign w:val="center"/>
          </w:tcPr>
          <w:p>
            <w:pPr>
              <w:spacing w:line="40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重庆市碚江水务有限公司澄江水厂</w:t>
            </w:r>
          </w:p>
        </w:tc>
        <w:tc>
          <w:tcPr>
            <w:tcW w:w="1387"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黑体" w:cs="Times New Roman"/>
                <w:spacing w:val="-18"/>
                <w:kern w:val="0"/>
                <w:szCs w:val="21"/>
              </w:rPr>
              <w:t>3500</w:t>
            </w:r>
          </w:p>
        </w:tc>
        <w:tc>
          <w:tcPr>
            <w:tcW w:w="2173"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出厂水</w:t>
            </w:r>
          </w:p>
        </w:tc>
        <w:tc>
          <w:tcPr>
            <w:tcW w:w="234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北碚区澄江镇澄江路30号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6" w:hRule="atLeast"/>
          <w:jc w:val="center"/>
        </w:trPr>
        <w:tc>
          <w:tcPr>
            <w:tcW w:w="782"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2308" w:type="dxa"/>
            <w:vAlign w:val="center"/>
          </w:tcPr>
          <w:p>
            <w:pPr>
              <w:spacing w:line="40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重庆市碚江水务有限公司江东自来水厂</w:t>
            </w:r>
          </w:p>
        </w:tc>
        <w:tc>
          <w:tcPr>
            <w:tcW w:w="1387"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黑体" w:cs="Times New Roman"/>
                <w:spacing w:val="-18"/>
                <w:kern w:val="0"/>
                <w:szCs w:val="21"/>
              </w:rPr>
              <w:t>20000</w:t>
            </w:r>
          </w:p>
        </w:tc>
        <w:tc>
          <w:tcPr>
            <w:tcW w:w="2173"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出厂水</w:t>
            </w:r>
          </w:p>
        </w:tc>
        <w:tc>
          <w:tcPr>
            <w:tcW w:w="234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北碚区柳荫镇西河村二社李家坡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1" w:hRule="atLeast"/>
          <w:jc w:val="center"/>
        </w:trPr>
        <w:tc>
          <w:tcPr>
            <w:tcW w:w="782"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c>
          <w:tcPr>
            <w:tcW w:w="2308" w:type="dxa"/>
            <w:vAlign w:val="center"/>
          </w:tcPr>
          <w:p>
            <w:pPr>
              <w:spacing w:line="40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重庆市碚江水务有限公司澄江水厂</w:t>
            </w:r>
          </w:p>
        </w:tc>
        <w:tc>
          <w:tcPr>
            <w:tcW w:w="1387"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2173"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末梢水</w:t>
            </w:r>
          </w:p>
        </w:tc>
        <w:tc>
          <w:tcPr>
            <w:tcW w:w="234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北碚区澄江镇澄江路231号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3" w:hRule="atLeast"/>
          <w:jc w:val="center"/>
        </w:trPr>
        <w:tc>
          <w:tcPr>
            <w:tcW w:w="782"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w:t>
            </w:r>
          </w:p>
        </w:tc>
        <w:tc>
          <w:tcPr>
            <w:tcW w:w="2308" w:type="dxa"/>
            <w:vAlign w:val="center"/>
          </w:tcPr>
          <w:p>
            <w:pPr>
              <w:spacing w:line="40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重庆市碚江水务有限公司江东自来水厂</w:t>
            </w:r>
          </w:p>
        </w:tc>
        <w:tc>
          <w:tcPr>
            <w:tcW w:w="1387"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2173"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末梢水</w:t>
            </w:r>
          </w:p>
        </w:tc>
        <w:tc>
          <w:tcPr>
            <w:tcW w:w="234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柳荫镇柳江街1号</w:t>
            </w:r>
          </w:p>
        </w:tc>
      </w:tr>
    </w:tbl>
    <w:p>
      <w:pPr>
        <w:spacing w:line="560" w:lineRule="exact"/>
        <w:jc w:val="left"/>
        <w:rPr>
          <w:rFonts w:hint="default" w:ascii="Times New Roman" w:hAnsi="Times New Roman" w:eastAsia="方正仿宋_GBK" w:cs="Times New Roman"/>
          <w:sz w:val="28"/>
          <w:szCs w:val="28"/>
        </w:rPr>
      </w:pPr>
    </w:p>
    <w:p>
      <w:pPr>
        <w:spacing w:line="560" w:lineRule="exact"/>
        <w:jc w:val="left"/>
        <w:rPr>
          <w:rFonts w:hint="default" w:ascii="Times New Roman" w:hAnsi="Times New Roman" w:eastAsia="方正黑体_GBK" w:cs="Times New Roman"/>
          <w:sz w:val="32"/>
          <w:szCs w:val="32"/>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sectPr>
          <w:footerReference r:id="rId3" w:type="default"/>
          <w:pgSz w:w="11906" w:h="16838"/>
          <w:pgMar w:top="2098" w:right="1474" w:bottom="1984" w:left="1588"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北碚区202</w:t>
      </w:r>
      <w:r>
        <w:rPr>
          <w:rFonts w:hint="eastAsia" w:ascii="Times New Roman" w:hAnsi="Times New Roman" w:eastAsia="方正小标宋_GBK" w:cs="Times New Roman"/>
          <w:color w:val="000000"/>
          <w:kern w:val="0"/>
          <w:sz w:val="44"/>
          <w:szCs w:val="44"/>
          <w:lang w:val="en-US" w:eastAsia="zh-CN"/>
        </w:rPr>
        <w:t>2</w:t>
      </w:r>
      <w:r>
        <w:rPr>
          <w:rFonts w:hint="default" w:ascii="Times New Roman" w:hAnsi="Times New Roman" w:eastAsia="方正小标宋_GBK" w:cs="Times New Roman"/>
          <w:color w:val="000000"/>
          <w:kern w:val="0"/>
          <w:sz w:val="44"/>
          <w:szCs w:val="44"/>
        </w:rPr>
        <w:t>年季度出厂水水质信息表（城市）</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rPr>
      </w:pPr>
    </w:p>
    <w:tbl>
      <w:tblPr>
        <w:tblStyle w:val="9"/>
        <w:tblpPr w:leftFromText="180" w:rightFromText="180" w:vertAnchor="text" w:horzAnchor="page" w:tblpX="1326" w:tblpY="255"/>
        <w:tblOverlap w:val="never"/>
        <w:tblW w:w="14651" w:type="dxa"/>
        <w:tblInd w:w="0" w:type="dxa"/>
        <w:tblLayout w:type="fixed"/>
        <w:tblCellMar>
          <w:top w:w="0" w:type="dxa"/>
          <w:left w:w="108" w:type="dxa"/>
          <w:bottom w:w="0" w:type="dxa"/>
          <w:right w:w="108" w:type="dxa"/>
        </w:tblCellMar>
      </w:tblPr>
      <w:tblGrid>
        <w:gridCol w:w="498"/>
        <w:gridCol w:w="1090"/>
        <w:gridCol w:w="675"/>
        <w:gridCol w:w="1038"/>
        <w:gridCol w:w="1550"/>
        <w:gridCol w:w="1212"/>
        <w:gridCol w:w="1338"/>
        <w:gridCol w:w="1000"/>
        <w:gridCol w:w="1150"/>
        <w:gridCol w:w="812"/>
        <w:gridCol w:w="1063"/>
        <w:gridCol w:w="778"/>
        <w:gridCol w:w="884"/>
        <w:gridCol w:w="875"/>
        <w:gridCol w:w="688"/>
      </w:tblGrid>
      <w:tr>
        <w:tblPrEx>
          <w:tblLayout w:type="fixed"/>
          <w:tblCellMar>
            <w:top w:w="0" w:type="dxa"/>
            <w:left w:w="108" w:type="dxa"/>
            <w:bottom w:w="0" w:type="dxa"/>
            <w:right w:w="108" w:type="dxa"/>
          </w:tblCellMar>
        </w:tblPrEx>
        <w:trPr>
          <w:trHeight w:val="315" w:hRule="atLeast"/>
        </w:trPr>
        <w:tc>
          <w:tcPr>
            <w:tcW w:w="4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序号</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市政水厂</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季度</w:t>
            </w:r>
          </w:p>
        </w:tc>
        <w:tc>
          <w:tcPr>
            <w:tcW w:w="11700" w:type="dxa"/>
            <w:gridSpan w:val="11"/>
            <w:tcBorders>
              <w:top w:val="single" w:color="auto" w:sz="8" w:space="0"/>
              <w:left w:val="single" w:color="auto" w:sz="4" w:space="0"/>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监测指标</w:t>
            </w:r>
          </w:p>
        </w:tc>
        <w:tc>
          <w:tcPr>
            <w:tcW w:w="6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备注</w:t>
            </w:r>
          </w:p>
        </w:tc>
      </w:tr>
      <w:tr>
        <w:tblPrEx>
          <w:tblLayout w:type="fixed"/>
          <w:tblCellMar>
            <w:top w:w="0" w:type="dxa"/>
            <w:left w:w="108" w:type="dxa"/>
            <w:bottom w:w="0" w:type="dxa"/>
            <w:right w:w="108" w:type="dxa"/>
          </w:tblCellMar>
        </w:tblPrEx>
        <w:trPr>
          <w:trHeight w:val="645" w:hRule="atLeast"/>
        </w:trPr>
        <w:tc>
          <w:tcPr>
            <w:tcW w:w="4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5"/>
                <w:szCs w:val="15"/>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5"/>
                <w:szCs w:val="15"/>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5"/>
                <w:szCs w:val="15"/>
              </w:rPr>
            </w:pPr>
          </w:p>
        </w:tc>
        <w:tc>
          <w:tcPr>
            <w:tcW w:w="1038"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菌落总数（CFU/mL）</w:t>
            </w:r>
          </w:p>
        </w:tc>
        <w:tc>
          <w:tcPr>
            <w:tcW w:w="15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总大肠菌群（MPN/100mL或CFU/100mL）</w:t>
            </w:r>
          </w:p>
        </w:tc>
        <w:tc>
          <w:tcPr>
            <w:tcW w:w="12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大肠埃希氏菌（MPN/100mL或CFU/100mL）</w:t>
            </w:r>
          </w:p>
        </w:tc>
        <w:tc>
          <w:tcPr>
            <w:tcW w:w="13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耐热大肠菌群（MPN/100mL或CFU/100mL）</w:t>
            </w:r>
          </w:p>
        </w:tc>
        <w:tc>
          <w:tcPr>
            <w:tcW w:w="100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色度（铂钴色度单位）</w:t>
            </w:r>
          </w:p>
        </w:tc>
        <w:tc>
          <w:tcPr>
            <w:tcW w:w="11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浑浊度（NTU-散射浊度单位）</w:t>
            </w: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臭和味</w:t>
            </w:r>
          </w:p>
        </w:tc>
        <w:tc>
          <w:tcPr>
            <w:tcW w:w="1063"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耗氧量（CODMn法，以O2计，mg/L）</w:t>
            </w:r>
          </w:p>
        </w:tc>
        <w:tc>
          <w:tcPr>
            <w:tcW w:w="778"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肉眼可见物</w:t>
            </w: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游离余氯（mg/L）</w:t>
            </w:r>
          </w:p>
        </w:tc>
        <w:tc>
          <w:tcPr>
            <w:tcW w:w="875"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二氧化氯（mg/L）</w:t>
            </w:r>
          </w:p>
        </w:tc>
        <w:tc>
          <w:tcPr>
            <w:tcW w:w="6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5"/>
                <w:szCs w:val="15"/>
              </w:rPr>
            </w:pPr>
          </w:p>
        </w:tc>
      </w:tr>
      <w:tr>
        <w:tblPrEx>
          <w:tblLayout w:type="fixed"/>
          <w:tblCellMar>
            <w:top w:w="0" w:type="dxa"/>
            <w:left w:w="108" w:type="dxa"/>
            <w:bottom w:w="0" w:type="dxa"/>
            <w:right w:w="108" w:type="dxa"/>
          </w:tblCellMar>
        </w:tblPrEx>
        <w:trPr>
          <w:trHeight w:val="420" w:hRule="atLeast"/>
        </w:trPr>
        <w:tc>
          <w:tcPr>
            <w:tcW w:w="2263" w:type="dxa"/>
            <w:gridSpan w:val="3"/>
            <w:tcBorders>
              <w:top w:val="single" w:color="auto" w:sz="4" w:space="0"/>
              <w:left w:val="single" w:color="auto" w:sz="8" w:space="0"/>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《生活饮用水卫生标准》（GB5749-2006）指标限值</w:t>
            </w:r>
          </w:p>
        </w:tc>
        <w:tc>
          <w:tcPr>
            <w:tcW w:w="1038"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≤100</w:t>
            </w:r>
          </w:p>
        </w:tc>
        <w:tc>
          <w:tcPr>
            <w:tcW w:w="1550"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不得检出</w:t>
            </w:r>
          </w:p>
        </w:tc>
        <w:tc>
          <w:tcPr>
            <w:tcW w:w="1212"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不得检出</w:t>
            </w:r>
          </w:p>
        </w:tc>
        <w:tc>
          <w:tcPr>
            <w:tcW w:w="1338"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不得检出</w:t>
            </w:r>
          </w:p>
        </w:tc>
        <w:tc>
          <w:tcPr>
            <w:tcW w:w="1000"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≤15</w:t>
            </w:r>
          </w:p>
        </w:tc>
        <w:tc>
          <w:tcPr>
            <w:tcW w:w="1150"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≤1</w:t>
            </w:r>
          </w:p>
        </w:tc>
        <w:tc>
          <w:tcPr>
            <w:tcW w:w="812"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无异臭、异味</w:t>
            </w:r>
          </w:p>
        </w:tc>
        <w:tc>
          <w:tcPr>
            <w:tcW w:w="1063"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≤3</w:t>
            </w:r>
          </w:p>
        </w:tc>
        <w:tc>
          <w:tcPr>
            <w:tcW w:w="778" w:type="dxa"/>
            <w:tcBorders>
              <w:top w:val="nil"/>
              <w:left w:val="nil"/>
              <w:bottom w:val="single" w:color="auto" w:sz="8" w:space="0"/>
              <w:right w:val="single" w:color="auto" w:sz="4"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无</w:t>
            </w:r>
          </w:p>
        </w:tc>
        <w:tc>
          <w:tcPr>
            <w:tcW w:w="884" w:type="dxa"/>
            <w:tcBorders>
              <w:top w:val="nil"/>
              <w:left w:val="single" w:color="auto" w:sz="4" w:space="0"/>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≥0.05</w:t>
            </w:r>
          </w:p>
        </w:tc>
        <w:tc>
          <w:tcPr>
            <w:tcW w:w="875"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≥0.02</w:t>
            </w:r>
          </w:p>
        </w:tc>
        <w:tc>
          <w:tcPr>
            <w:tcW w:w="688" w:type="dxa"/>
            <w:tcBorders>
              <w:top w:val="single" w:color="auto" w:sz="4" w:space="0"/>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2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3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2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3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2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3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2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3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2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3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2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3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bl>
    <w:p>
      <w:pPr>
        <w:spacing w:line="560" w:lineRule="exact"/>
        <w:jc w:val="left"/>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kern w:val="0"/>
          <w:sz w:val="44"/>
          <w:szCs w:val="44"/>
        </w:rPr>
        <w:t>北碚区202</w:t>
      </w:r>
      <w:r>
        <w:rPr>
          <w:rFonts w:hint="eastAsia" w:ascii="Times New Roman" w:hAnsi="Times New Roman" w:eastAsia="方正小标宋_GBK" w:cs="Times New Roman"/>
          <w:color w:val="000000"/>
          <w:kern w:val="0"/>
          <w:sz w:val="44"/>
          <w:szCs w:val="44"/>
          <w:lang w:val="en-US" w:eastAsia="zh-CN"/>
        </w:rPr>
        <w:t>2</w:t>
      </w:r>
      <w:r>
        <w:rPr>
          <w:rFonts w:hint="default" w:ascii="Times New Roman" w:hAnsi="Times New Roman" w:eastAsia="方正小标宋_GBK" w:cs="Times New Roman"/>
          <w:color w:val="000000"/>
          <w:kern w:val="0"/>
          <w:sz w:val="44"/>
          <w:szCs w:val="44"/>
        </w:rPr>
        <w:t>年季度出厂水水质信息表（农村）</w:t>
      </w:r>
    </w:p>
    <w:tbl>
      <w:tblPr>
        <w:tblStyle w:val="9"/>
        <w:tblpPr w:leftFromText="180" w:rightFromText="180" w:vertAnchor="text" w:horzAnchor="page" w:tblpX="1281" w:tblpY="814"/>
        <w:tblOverlap w:val="never"/>
        <w:tblW w:w="14651" w:type="dxa"/>
        <w:tblInd w:w="0" w:type="dxa"/>
        <w:tblLayout w:type="fixed"/>
        <w:tblCellMar>
          <w:top w:w="0" w:type="dxa"/>
          <w:left w:w="108" w:type="dxa"/>
          <w:bottom w:w="0" w:type="dxa"/>
          <w:right w:w="108" w:type="dxa"/>
        </w:tblCellMar>
      </w:tblPr>
      <w:tblGrid>
        <w:gridCol w:w="498"/>
        <w:gridCol w:w="1090"/>
        <w:gridCol w:w="675"/>
        <w:gridCol w:w="1038"/>
        <w:gridCol w:w="1550"/>
        <w:gridCol w:w="1212"/>
        <w:gridCol w:w="1338"/>
        <w:gridCol w:w="1000"/>
        <w:gridCol w:w="1150"/>
        <w:gridCol w:w="812"/>
        <w:gridCol w:w="1063"/>
        <w:gridCol w:w="778"/>
        <w:gridCol w:w="884"/>
        <w:gridCol w:w="875"/>
        <w:gridCol w:w="688"/>
      </w:tblGrid>
      <w:tr>
        <w:tblPrEx>
          <w:tblLayout w:type="fixed"/>
          <w:tblCellMar>
            <w:top w:w="0" w:type="dxa"/>
            <w:left w:w="108" w:type="dxa"/>
            <w:bottom w:w="0" w:type="dxa"/>
            <w:right w:w="108" w:type="dxa"/>
          </w:tblCellMar>
        </w:tblPrEx>
        <w:trPr>
          <w:trHeight w:val="315" w:hRule="atLeast"/>
        </w:trPr>
        <w:tc>
          <w:tcPr>
            <w:tcW w:w="4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序号</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市政水厂</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季度</w:t>
            </w:r>
          </w:p>
        </w:tc>
        <w:tc>
          <w:tcPr>
            <w:tcW w:w="11700" w:type="dxa"/>
            <w:gridSpan w:val="11"/>
            <w:tcBorders>
              <w:top w:val="single" w:color="auto" w:sz="8" w:space="0"/>
              <w:left w:val="single" w:color="auto" w:sz="4" w:space="0"/>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监测指标</w:t>
            </w:r>
          </w:p>
        </w:tc>
        <w:tc>
          <w:tcPr>
            <w:tcW w:w="6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备注</w:t>
            </w:r>
          </w:p>
        </w:tc>
      </w:tr>
      <w:tr>
        <w:tblPrEx>
          <w:tblLayout w:type="fixed"/>
          <w:tblCellMar>
            <w:top w:w="0" w:type="dxa"/>
            <w:left w:w="108" w:type="dxa"/>
            <w:bottom w:w="0" w:type="dxa"/>
            <w:right w:w="108" w:type="dxa"/>
          </w:tblCellMar>
        </w:tblPrEx>
        <w:trPr>
          <w:trHeight w:val="645" w:hRule="atLeast"/>
        </w:trPr>
        <w:tc>
          <w:tcPr>
            <w:tcW w:w="4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c>
          <w:tcPr>
            <w:tcW w:w="1038"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菌落总数（CFU/mL）</w:t>
            </w:r>
          </w:p>
        </w:tc>
        <w:tc>
          <w:tcPr>
            <w:tcW w:w="15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总大肠菌群（MPN/100mL或CFU/100mL）</w:t>
            </w:r>
          </w:p>
        </w:tc>
        <w:tc>
          <w:tcPr>
            <w:tcW w:w="12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大肠埃希氏菌（MPN/100mL或CFU/100mL）</w:t>
            </w:r>
          </w:p>
        </w:tc>
        <w:tc>
          <w:tcPr>
            <w:tcW w:w="133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耐热大肠菌群（MPN/100mL或CFU/100mL）</w:t>
            </w:r>
          </w:p>
        </w:tc>
        <w:tc>
          <w:tcPr>
            <w:tcW w:w="10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色度（铂钴色度单位）</w:t>
            </w:r>
          </w:p>
        </w:tc>
        <w:tc>
          <w:tcPr>
            <w:tcW w:w="11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浑浊度（NTU-散射浊度单位）</w:t>
            </w:r>
          </w:p>
        </w:tc>
        <w:tc>
          <w:tcPr>
            <w:tcW w:w="8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臭和味</w:t>
            </w:r>
          </w:p>
        </w:tc>
        <w:tc>
          <w:tcPr>
            <w:tcW w:w="1063"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耗氧量（CODMn法，以O2计，mg/L）</w:t>
            </w:r>
          </w:p>
        </w:tc>
        <w:tc>
          <w:tcPr>
            <w:tcW w:w="778"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肉眼可见物</w:t>
            </w: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游离余氯（mg/L）</w:t>
            </w:r>
          </w:p>
        </w:tc>
        <w:tc>
          <w:tcPr>
            <w:tcW w:w="875"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二氧化氯（mg/L）</w:t>
            </w:r>
          </w:p>
        </w:tc>
        <w:tc>
          <w:tcPr>
            <w:tcW w:w="6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5"/>
                <w:szCs w:val="15"/>
              </w:rPr>
            </w:pPr>
          </w:p>
        </w:tc>
      </w:tr>
      <w:tr>
        <w:tblPrEx>
          <w:tblLayout w:type="fixed"/>
          <w:tblCellMar>
            <w:top w:w="0" w:type="dxa"/>
            <w:left w:w="108" w:type="dxa"/>
            <w:bottom w:w="0" w:type="dxa"/>
            <w:right w:w="108" w:type="dxa"/>
          </w:tblCellMar>
        </w:tblPrEx>
        <w:trPr>
          <w:trHeight w:val="420" w:hRule="atLeast"/>
        </w:trPr>
        <w:tc>
          <w:tcPr>
            <w:tcW w:w="2263" w:type="dxa"/>
            <w:gridSpan w:val="3"/>
            <w:tcBorders>
              <w:top w:val="single" w:color="auto" w:sz="4" w:space="0"/>
              <w:left w:val="single" w:color="auto" w:sz="8" w:space="0"/>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《生活饮用水卫生标准》（GB5749-2006）指标限值</w:t>
            </w:r>
          </w:p>
        </w:tc>
        <w:tc>
          <w:tcPr>
            <w:tcW w:w="1038"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≤100</w:t>
            </w:r>
          </w:p>
        </w:tc>
        <w:tc>
          <w:tcPr>
            <w:tcW w:w="1550"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不得检出</w:t>
            </w:r>
          </w:p>
        </w:tc>
        <w:tc>
          <w:tcPr>
            <w:tcW w:w="1212"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不得检出</w:t>
            </w:r>
          </w:p>
        </w:tc>
        <w:tc>
          <w:tcPr>
            <w:tcW w:w="1338"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不得检出</w:t>
            </w:r>
          </w:p>
        </w:tc>
        <w:tc>
          <w:tcPr>
            <w:tcW w:w="1000"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≤15</w:t>
            </w:r>
          </w:p>
        </w:tc>
        <w:tc>
          <w:tcPr>
            <w:tcW w:w="1150"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≤1</w:t>
            </w:r>
          </w:p>
        </w:tc>
        <w:tc>
          <w:tcPr>
            <w:tcW w:w="812"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无异臭、异味</w:t>
            </w:r>
          </w:p>
        </w:tc>
        <w:tc>
          <w:tcPr>
            <w:tcW w:w="1063"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≤3</w:t>
            </w:r>
          </w:p>
        </w:tc>
        <w:tc>
          <w:tcPr>
            <w:tcW w:w="778" w:type="dxa"/>
            <w:tcBorders>
              <w:top w:val="nil"/>
              <w:left w:val="nil"/>
              <w:bottom w:val="single" w:color="auto" w:sz="8" w:space="0"/>
              <w:right w:val="single" w:color="auto" w:sz="4"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无</w:t>
            </w:r>
          </w:p>
        </w:tc>
        <w:tc>
          <w:tcPr>
            <w:tcW w:w="884" w:type="dxa"/>
            <w:tcBorders>
              <w:top w:val="nil"/>
              <w:left w:val="single" w:color="auto" w:sz="4" w:space="0"/>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≥0.05</w:t>
            </w:r>
          </w:p>
        </w:tc>
        <w:tc>
          <w:tcPr>
            <w:tcW w:w="875"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≥0.02</w:t>
            </w:r>
          </w:p>
        </w:tc>
        <w:tc>
          <w:tcPr>
            <w:tcW w:w="688" w:type="dxa"/>
            <w:tcBorders>
              <w:top w:val="single" w:color="auto" w:sz="4" w:space="0"/>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2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3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2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3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2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3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2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3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2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3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2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3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bl>
    <w:p>
      <w:pPr>
        <w:spacing w:line="560" w:lineRule="exact"/>
        <w:jc w:val="left"/>
        <w:rPr>
          <w:rFonts w:hint="default" w:ascii="Times New Roman" w:hAnsi="Times New Roman" w:eastAsia="黑体" w:cs="Times New Roman"/>
          <w:sz w:val="28"/>
          <w:szCs w:val="28"/>
        </w:rPr>
      </w:pPr>
    </w:p>
    <w:p>
      <w:pPr>
        <w:pStyle w:val="6"/>
        <w:widowControl/>
        <w:spacing w:beforeAutospacing="0" w:afterAutospacing="0" w:line="560" w:lineRule="exact"/>
        <w:rPr>
          <w:rFonts w:hint="default" w:ascii="Times New Roman" w:hAnsi="Times New Roman" w:eastAsia="方正仿宋_GBK" w:cs="Times New Roman"/>
          <w:sz w:val="32"/>
          <w:szCs w:val="32"/>
        </w:rPr>
      </w:pPr>
      <w:r>
        <w:rPr>
          <w:rFonts w:hint="default" w:ascii="Times New Roman" w:hAnsi="Times New Roman" w:eastAsia="黑体" w:cs="Times New Roman"/>
          <w:color w:val="000000"/>
          <w:sz w:val="13"/>
          <w:szCs w:val="13"/>
        </w:rPr>
        <w:t>a.</w:t>
      </w:r>
      <w:r>
        <w:rPr>
          <w:rFonts w:hint="default" w:ascii="Times New Roman" w:hAnsi="Times New Roman" w:cs="Times New Roman"/>
          <w:color w:val="000000"/>
          <w:sz w:val="14"/>
          <w:szCs w:val="14"/>
        </w:rPr>
        <w:t>《生活饮用水卫生标准》（GB5749-2006）规定农村小型集中式供水（日供水量在1000m3以下）部分水质指标可按表4标准执行：菌类总数≤500CFU/ml色度≤20浑浊度≤3耗氧量≤5</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cs="Times New Roman"/>
        </w:rPr>
      </w:pPr>
      <w:r>
        <w:rPr>
          <w:rFonts w:hint="default" w:ascii="Times New Roman" w:hAnsi="Times New Roman" w:eastAsia="方正黑体_GBK" w:cs="Times New Roman"/>
          <w:sz w:val="32"/>
          <w:szCs w:val="32"/>
        </w:rPr>
        <w:t>附件5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kern w:val="0"/>
          <w:sz w:val="44"/>
          <w:szCs w:val="44"/>
        </w:rPr>
        <w:t>北碚区202</w:t>
      </w:r>
      <w:r>
        <w:rPr>
          <w:rFonts w:hint="eastAsia" w:ascii="Times New Roman" w:hAnsi="Times New Roman" w:eastAsia="方正小标宋_GBK" w:cs="Times New Roman"/>
          <w:color w:val="000000"/>
          <w:kern w:val="0"/>
          <w:sz w:val="44"/>
          <w:szCs w:val="44"/>
          <w:lang w:val="en-US" w:eastAsia="zh-CN"/>
        </w:rPr>
        <w:t>2</w:t>
      </w:r>
      <w:r>
        <w:rPr>
          <w:rFonts w:hint="default" w:ascii="Times New Roman" w:hAnsi="Times New Roman" w:eastAsia="方正小标宋_GBK" w:cs="Times New Roman"/>
          <w:color w:val="000000"/>
          <w:kern w:val="0"/>
          <w:sz w:val="44"/>
          <w:szCs w:val="44"/>
        </w:rPr>
        <w:t>年季度水龙头水质信息公布表（城市）</w:t>
      </w:r>
    </w:p>
    <w:tbl>
      <w:tblPr>
        <w:tblStyle w:val="9"/>
        <w:tblpPr w:leftFromText="180" w:rightFromText="180" w:vertAnchor="text" w:horzAnchor="page" w:tblpX="1461" w:tblpY="732"/>
        <w:tblOverlap w:val="never"/>
        <w:tblW w:w="14651" w:type="dxa"/>
        <w:tblInd w:w="0" w:type="dxa"/>
        <w:tblLayout w:type="fixed"/>
        <w:tblCellMar>
          <w:top w:w="0" w:type="dxa"/>
          <w:left w:w="108" w:type="dxa"/>
          <w:bottom w:w="0" w:type="dxa"/>
          <w:right w:w="108" w:type="dxa"/>
        </w:tblCellMar>
      </w:tblPr>
      <w:tblGrid>
        <w:gridCol w:w="498"/>
        <w:gridCol w:w="1090"/>
        <w:gridCol w:w="675"/>
        <w:gridCol w:w="1038"/>
        <w:gridCol w:w="1550"/>
        <w:gridCol w:w="1212"/>
        <w:gridCol w:w="1338"/>
        <w:gridCol w:w="1000"/>
        <w:gridCol w:w="1150"/>
        <w:gridCol w:w="812"/>
        <w:gridCol w:w="1063"/>
        <w:gridCol w:w="778"/>
        <w:gridCol w:w="884"/>
        <w:gridCol w:w="875"/>
        <w:gridCol w:w="688"/>
      </w:tblGrid>
      <w:tr>
        <w:tblPrEx>
          <w:tblLayout w:type="fixed"/>
          <w:tblCellMar>
            <w:top w:w="0" w:type="dxa"/>
            <w:left w:w="108" w:type="dxa"/>
            <w:bottom w:w="0" w:type="dxa"/>
            <w:right w:w="108" w:type="dxa"/>
          </w:tblCellMar>
        </w:tblPrEx>
        <w:trPr>
          <w:trHeight w:val="315" w:hRule="atLeast"/>
        </w:trPr>
        <w:tc>
          <w:tcPr>
            <w:tcW w:w="4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序号</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市政水厂</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季度</w:t>
            </w:r>
          </w:p>
        </w:tc>
        <w:tc>
          <w:tcPr>
            <w:tcW w:w="11700" w:type="dxa"/>
            <w:gridSpan w:val="11"/>
            <w:tcBorders>
              <w:top w:val="single" w:color="auto" w:sz="8" w:space="0"/>
              <w:left w:val="single" w:color="auto" w:sz="4" w:space="0"/>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监测指标</w:t>
            </w:r>
          </w:p>
        </w:tc>
        <w:tc>
          <w:tcPr>
            <w:tcW w:w="6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备注</w:t>
            </w:r>
          </w:p>
        </w:tc>
      </w:tr>
      <w:tr>
        <w:tblPrEx>
          <w:tblLayout w:type="fixed"/>
          <w:tblCellMar>
            <w:top w:w="0" w:type="dxa"/>
            <w:left w:w="108" w:type="dxa"/>
            <w:bottom w:w="0" w:type="dxa"/>
            <w:right w:w="108" w:type="dxa"/>
          </w:tblCellMar>
        </w:tblPrEx>
        <w:trPr>
          <w:trHeight w:val="645" w:hRule="atLeast"/>
        </w:trPr>
        <w:tc>
          <w:tcPr>
            <w:tcW w:w="4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c>
          <w:tcPr>
            <w:tcW w:w="1038"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菌落总数（CFU/mL）</w:t>
            </w:r>
          </w:p>
        </w:tc>
        <w:tc>
          <w:tcPr>
            <w:tcW w:w="15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总大肠菌群（MPN/100mL或CFU/100mL）</w:t>
            </w:r>
          </w:p>
        </w:tc>
        <w:tc>
          <w:tcPr>
            <w:tcW w:w="12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大肠埃希氏菌（MPN/100mL或CFU/100mL）</w:t>
            </w:r>
          </w:p>
        </w:tc>
        <w:tc>
          <w:tcPr>
            <w:tcW w:w="133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耐热大肠菌群（MPN/100mL或CFU/100mL）</w:t>
            </w:r>
          </w:p>
        </w:tc>
        <w:tc>
          <w:tcPr>
            <w:tcW w:w="10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色度（铂钴色度单位）</w:t>
            </w:r>
          </w:p>
        </w:tc>
        <w:tc>
          <w:tcPr>
            <w:tcW w:w="11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浑浊度（NTU-散射浊度单位）</w:t>
            </w:r>
          </w:p>
        </w:tc>
        <w:tc>
          <w:tcPr>
            <w:tcW w:w="8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臭和味</w:t>
            </w:r>
          </w:p>
        </w:tc>
        <w:tc>
          <w:tcPr>
            <w:tcW w:w="1063"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耗氧量（CODMn法，以O2计，mg/L）</w:t>
            </w:r>
          </w:p>
        </w:tc>
        <w:tc>
          <w:tcPr>
            <w:tcW w:w="778"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肉眼可见物</w:t>
            </w: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游离余氯（mg/L）</w:t>
            </w:r>
          </w:p>
        </w:tc>
        <w:tc>
          <w:tcPr>
            <w:tcW w:w="875"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二氧化氯（mg/L）</w:t>
            </w:r>
          </w:p>
        </w:tc>
        <w:tc>
          <w:tcPr>
            <w:tcW w:w="6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r>
      <w:tr>
        <w:tblPrEx>
          <w:tblLayout w:type="fixed"/>
          <w:tblCellMar>
            <w:top w:w="0" w:type="dxa"/>
            <w:left w:w="108" w:type="dxa"/>
            <w:bottom w:w="0" w:type="dxa"/>
            <w:right w:w="108" w:type="dxa"/>
          </w:tblCellMar>
        </w:tblPrEx>
        <w:trPr>
          <w:trHeight w:val="420" w:hRule="atLeast"/>
        </w:trPr>
        <w:tc>
          <w:tcPr>
            <w:tcW w:w="2263" w:type="dxa"/>
            <w:gridSpan w:val="3"/>
            <w:tcBorders>
              <w:top w:val="single" w:color="auto" w:sz="4" w:space="0"/>
              <w:left w:val="single" w:color="auto" w:sz="8" w:space="0"/>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《生活饮用水卫生标准》（GB5749-2006）指标限值</w:t>
            </w:r>
          </w:p>
        </w:tc>
        <w:tc>
          <w:tcPr>
            <w:tcW w:w="1038"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≤100</w:t>
            </w:r>
          </w:p>
        </w:tc>
        <w:tc>
          <w:tcPr>
            <w:tcW w:w="1550"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不得检出</w:t>
            </w:r>
          </w:p>
        </w:tc>
        <w:tc>
          <w:tcPr>
            <w:tcW w:w="1212"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不得检出</w:t>
            </w:r>
          </w:p>
        </w:tc>
        <w:tc>
          <w:tcPr>
            <w:tcW w:w="1338"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不得检出</w:t>
            </w:r>
          </w:p>
        </w:tc>
        <w:tc>
          <w:tcPr>
            <w:tcW w:w="1000"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≤15</w:t>
            </w:r>
          </w:p>
        </w:tc>
        <w:tc>
          <w:tcPr>
            <w:tcW w:w="1150"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≤1</w:t>
            </w:r>
          </w:p>
        </w:tc>
        <w:tc>
          <w:tcPr>
            <w:tcW w:w="812"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无异臭、异味</w:t>
            </w:r>
          </w:p>
        </w:tc>
        <w:tc>
          <w:tcPr>
            <w:tcW w:w="1063"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≤3</w:t>
            </w:r>
          </w:p>
        </w:tc>
        <w:tc>
          <w:tcPr>
            <w:tcW w:w="778" w:type="dxa"/>
            <w:tcBorders>
              <w:top w:val="nil"/>
              <w:left w:val="nil"/>
              <w:bottom w:val="single" w:color="auto" w:sz="8" w:space="0"/>
              <w:right w:val="single" w:color="auto" w:sz="4"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p>
        </w:tc>
        <w:tc>
          <w:tcPr>
            <w:tcW w:w="884" w:type="dxa"/>
            <w:tcBorders>
              <w:top w:val="nil"/>
              <w:left w:val="single" w:color="auto" w:sz="4" w:space="0"/>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≥0.05</w:t>
            </w:r>
          </w:p>
        </w:tc>
        <w:tc>
          <w:tcPr>
            <w:tcW w:w="875"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≥0.02</w:t>
            </w:r>
          </w:p>
        </w:tc>
        <w:tc>
          <w:tcPr>
            <w:tcW w:w="688" w:type="dxa"/>
            <w:tcBorders>
              <w:top w:val="single" w:color="auto" w:sz="4" w:space="0"/>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3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2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33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3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2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33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2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3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2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3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2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3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2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3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bl>
    <w:p>
      <w:pPr>
        <w:spacing w:line="560" w:lineRule="exact"/>
        <w:jc w:val="left"/>
        <w:rPr>
          <w:rFonts w:hint="default" w:ascii="Times New Roman" w:hAnsi="Times New Roman" w:eastAsia="方正仿宋_GBK" w:cs="Times New Roman"/>
          <w:sz w:val="32"/>
          <w:szCs w:val="32"/>
        </w:rPr>
      </w:pPr>
    </w:p>
    <w:p>
      <w:pPr>
        <w:spacing w:line="560" w:lineRule="exact"/>
        <w:jc w:val="left"/>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kern w:val="0"/>
          <w:sz w:val="44"/>
          <w:szCs w:val="44"/>
        </w:rPr>
        <w:t>北碚区202</w:t>
      </w:r>
      <w:r>
        <w:rPr>
          <w:rFonts w:hint="eastAsia" w:ascii="Times New Roman" w:hAnsi="Times New Roman" w:eastAsia="方正小标宋_GBK" w:cs="Times New Roman"/>
          <w:color w:val="000000"/>
          <w:kern w:val="0"/>
          <w:sz w:val="44"/>
          <w:szCs w:val="44"/>
          <w:lang w:val="en-US" w:eastAsia="zh-CN"/>
        </w:rPr>
        <w:t>2</w:t>
      </w:r>
      <w:r>
        <w:rPr>
          <w:rFonts w:hint="default" w:ascii="Times New Roman" w:hAnsi="Times New Roman" w:eastAsia="方正小标宋_GBK" w:cs="Times New Roman"/>
          <w:color w:val="000000"/>
          <w:kern w:val="0"/>
          <w:sz w:val="44"/>
          <w:szCs w:val="44"/>
        </w:rPr>
        <w:t>年季度水龙头水质信息公布表（农村）</w:t>
      </w:r>
    </w:p>
    <w:tbl>
      <w:tblPr>
        <w:tblStyle w:val="9"/>
        <w:tblpPr w:leftFromText="180" w:rightFromText="180" w:vertAnchor="text" w:horzAnchor="page" w:tblpX="1236" w:tblpY="933"/>
        <w:tblOverlap w:val="never"/>
        <w:tblW w:w="14651" w:type="dxa"/>
        <w:tblInd w:w="0" w:type="dxa"/>
        <w:tblLayout w:type="fixed"/>
        <w:tblCellMar>
          <w:top w:w="0" w:type="dxa"/>
          <w:left w:w="108" w:type="dxa"/>
          <w:bottom w:w="0" w:type="dxa"/>
          <w:right w:w="108" w:type="dxa"/>
        </w:tblCellMar>
      </w:tblPr>
      <w:tblGrid>
        <w:gridCol w:w="498"/>
        <w:gridCol w:w="1090"/>
        <w:gridCol w:w="675"/>
        <w:gridCol w:w="1038"/>
        <w:gridCol w:w="1550"/>
        <w:gridCol w:w="1212"/>
        <w:gridCol w:w="1338"/>
        <w:gridCol w:w="1000"/>
        <w:gridCol w:w="1150"/>
        <w:gridCol w:w="812"/>
        <w:gridCol w:w="1063"/>
        <w:gridCol w:w="778"/>
        <w:gridCol w:w="884"/>
        <w:gridCol w:w="875"/>
        <w:gridCol w:w="688"/>
      </w:tblGrid>
      <w:tr>
        <w:tblPrEx>
          <w:tblLayout w:type="fixed"/>
          <w:tblCellMar>
            <w:top w:w="0" w:type="dxa"/>
            <w:left w:w="108" w:type="dxa"/>
            <w:bottom w:w="0" w:type="dxa"/>
            <w:right w:w="108" w:type="dxa"/>
          </w:tblCellMar>
        </w:tblPrEx>
        <w:trPr>
          <w:trHeight w:val="315" w:hRule="atLeast"/>
        </w:trPr>
        <w:tc>
          <w:tcPr>
            <w:tcW w:w="4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序号</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市政水厂</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季度</w:t>
            </w:r>
          </w:p>
        </w:tc>
        <w:tc>
          <w:tcPr>
            <w:tcW w:w="11700" w:type="dxa"/>
            <w:gridSpan w:val="11"/>
            <w:tcBorders>
              <w:top w:val="single" w:color="auto" w:sz="8" w:space="0"/>
              <w:left w:val="single" w:color="auto" w:sz="4" w:space="0"/>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监测指标</w:t>
            </w:r>
          </w:p>
        </w:tc>
        <w:tc>
          <w:tcPr>
            <w:tcW w:w="6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备注</w:t>
            </w:r>
          </w:p>
        </w:tc>
      </w:tr>
      <w:tr>
        <w:tblPrEx>
          <w:tblLayout w:type="fixed"/>
          <w:tblCellMar>
            <w:top w:w="0" w:type="dxa"/>
            <w:left w:w="108" w:type="dxa"/>
            <w:bottom w:w="0" w:type="dxa"/>
            <w:right w:w="108" w:type="dxa"/>
          </w:tblCellMar>
        </w:tblPrEx>
        <w:trPr>
          <w:trHeight w:val="645" w:hRule="atLeast"/>
        </w:trPr>
        <w:tc>
          <w:tcPr>
            <w:tcW w:w="4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c>
          <w:tcPr>
            <w:tcW w:w="1038"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菌落总数（CFU/mL）</w:t>
            </w:r>
          </w:p>
        </w:tc>
        <w:tc>
          <w:tcPr>
            <w:tcW w:w="15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总大肠菌群（MPN/100mL或CFU/100mL）</w:t>
            </w:r>
          </w:p>
        </w:tc>
        <w:tc>
          <w:tcPr>
            <w:tcW w:w="12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大肠埃希氏菌（MPN/100mL或CFU/100mL）</w:t>
            </w:r>
          </w:p>
        </w:tc>
        <w:tc>
          <w:tcPr>
            <w:tcW w:w="133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耐热大肠菌群（MPN/100mL或CFU/100mL）</w:t>
            </w:r>
          </w:p>
        </w:tc>
        <w:tc>
          <w:tcPr>
            <w:tcW w:w="10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色度（铂钴色度单位）</w:t>
            </w:r>
          </w:p>
        </w:tc>
        <w:tc>
          <w:tcPr>
            <w:tcW w:w="11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浑浊度（NTU-散射浊度单位）</w:t>
            </w:r>
          </w:p>
        </w:tc>
        <w:tc>
          <w:tcPr>
            <w:tcW w:w="8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臭和味</w:t>
            </w:r>
          </w:p>
        </w:tc>
        <w:tc>
          <w:tcPr>
            <w:tcW w:w="1063"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耗氧量（CODMn法，以O2计，mg/L）</w:t>
            </w:r>
          </w:p>
        </w:tc>
        <w:tc>
          <w:tcPr>
            <w:tcW w:w="778"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肉眼可见物</w:t>
            </w: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游离余氯（mg/L）</w:t>
            </w:r>
          </w:p>
        </w:tc>
        <w:tc>
          <w:tcPr>
            <w:tcW w:w="875"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二氧化氯（mg/L）</w:t>
            </w:r>
          </w:p>
        </w:tc>
        <w:tc>
          <w:tcPr>
            <w:tcW w:w="6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r>
      <w:tr>
        <w:tblPrEx>
          <w:tblLayout w:type="fixed"/>
          <w:tblCellMar>
            <w:top w:w="0" w:type="dxa"/>
            <w:left w:w="108" w:type="dxa"/>
            <w:bottom w:w="0" w:type="dxa"/>
            <w:right w:w="108" w:type="dxa"/>
          </w:tblCellMar>
        </w:tblPrEx>
        <w:trPr>
          <w:trHeight w:val="420" w:hRule="atLeast"/>
        </w:trPr>
        <w:tc>
          <w:tcPr>
            <w:tcW w:w="2263" w:type="dxa"/>
            <w:gridSpan w:val="3"/>
            <w:tcBorders>
              <w:top w:val="single" w:color="auto" w:sz="4" w:space="0"/>
              <w:left w:val="single" w:color="auto" w:sz="8" w:space="0"/>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《生活饮用水卫生标准》（GB5749-2006）指标限值</w:t>
            </w:r>
          </w:p>
        </w:tc>
        <w:tc>
          <w:tcPr>
            <w:tcW w:w="1038"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≤100</w:t>
            </w:r>
          </w:p>
        </w:tc>
        <w:tc>
          <w:tcPr>
            <w:tcW w:w="1550"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不得检出</w:t>
            </w:r>
          </w:p>
        </w:tc>
        <w:tc>
          <w:tcPr>
            <w:tcW w:w="1212"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不得检出</w:t>
            </w:r>
          </w:p>
        </w:tc>
        <w:tc>
          <w:tcPr>
            <w:tcW w:w="1338"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不得检出</w:t>
            </w:r>
          </w:p>
        </w:tc>
        <w:tc>
          <w:tcPr>
            <w:tcW w:w="1000"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≤15</w:t>
            </w:r>
          </w:p>
        </w:tc>
        <w:tc>
          <w:tcPr>
            <w:tcW w:w="1150"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≤1</w:t>
            </w:r>
          </w:p>
        </w:tc>
        <w:tc>
          <w:tcPr>
            <w:tcW w:w="812"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无异臭、异味</w:t>
            </w:r>
          </w:p>
        </w:tc>
        <w:tc>
          <w:tcPr>
            <w:tcW w:w="1063"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≤3</w:t>
            </w:r>
          </w:p>
        </w:tc>
        <w:tc>
          <w:tcPr>
            <w:tcW w:w="778" w:type="dxa"/>
            <w:tcBorders>
              <w:top w:val="nil"/>
              <w:left w:val="nil"/>
              <w:bottom w:val="single" w:color="auto" w:sz="8" w:space="0"/>
              <w:right w:val="single" w:color="auto" w:sz="4"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p>
        </w:tc>
        <w:tc>
          <w:tcPr>
            <w:tcW w:w="884" w:type="dxa"/>
            <w:tcBorders>
              <w:top w:val="nil"/>
              <w:left w:val="single" w:color="auto" w:sz="4" w:space="0"/>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≥0.05</w:t>
            </w:r>
          </w:p>
        </w:tc>
        <w:tc>
          <w:tcPr>
            <w:tcW w:w="875"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≥0.02</w:t>
            </w:r>
          </w:p>
        </w:tc>
        <w:tc>
          <w:tcPr>
            <w:tcW w:w="688" w:type="dxa"/>
            <w:tcBorders>
              <w:top w:val="single" w:color="auto" w:sz="4" w:space="0"/>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3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2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33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3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2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33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3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2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33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3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2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33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3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2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33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2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33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bl>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numPr>
          <w:ilvl w:val="0"/>
          <w:numId w:val="2"/>
        </w:numPr>
        <w:spacing w:beforeAutospacing="0" w:afterAutospacing="0" w:line="560" w:lineRule="exact"/>
        <w:rPr>
          <w:rFonts w:hint="default" w:ascii="Times New Roman" w:hAnsi="Times New Roman" w:cs="Times New Roman"/>
          <w:color w:val="000000"/>
          <w:sz w:val="14"/>
          <w:szCs w:val="14"/>
        </w:rPr>
      </w:pPr>
      <w:r>
        <w:rPr>
          <w:rFonts w:hint="default" w:ascii="Times New Roman" w:hAnsi="Times New Roman" w:cs="Times New Roman"/>
          <w:color w:val="000000"/>
          <w:sz w:val="14"/>
          <w:szCs w:val="14"/>
        </w:rPr>
        <w:t>《生活饮用水卫生标准》（GB5749-2006）规定，农村小型集中式供水（日供水量在1000m3以下）部分水质指标可按表4标准执行：菌类总数≤500CFU/ml，色度≤20，浑浊度≤3，耗氧量≤5。</w:t>
      </w:r>
    </w:p>
    <w:p>
      <w:pPr>
        <w:pStyle w:val="6"/>
        <w:widowControl/>
        <w:spacing w:beforeAutospacing="0" w:afterAutospacing="0" w:line="560" w:lineRule="exact"/>
        <w:rPr>
          <w:rFonts w:hint="default" w:ascii="Times New Roman" w:hAnsi="Times New Roman" w:cs="Times New Roman"/>
          <w:color w:val="000000"/>
          <w:sz w:val="14"/>
          <w:szCs w:val="14"/>
        </w:rPr>
        <w:sectPr>
          <w:footerReference r:id="rId4" w:type="default"/>
          <w:pgSz w:w="16838" w:h="11906" w:orient="landscape"/>
          <w:pgMar w:top="1587" w:right="2098" w:bottom="1474" w:left="1984" w:header="851" w:footer="992" w:gutter="0"/>
          <w:cols w:space="0" w:num="1"/>
          <w:docGrid w:type="lines" w:linePitch="327" w:charSpace="0"/>
        </w:sect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6"/>
        <w:widowControl/>
        <w:spacing w:beforeAutospacing="0" w:afterAutospacing="0" w:line="560" w:lineRule="exact"/>
        <w:rPr>
          <w:rFonts w:hint="default" w:ascii="Times New Roman" w:hAnsi="Times New Roman" w:cs="Times New Roman"/>
          <w:color w:val="000000"/>
          <w:sz w:val="14"/>
          <w:szCs w:val="14"/>
        </w:rPr>
      </w:pPr>
    </w:p>
    <w:p>
      <w:pPr>
        <w:pStyle w:val="3"/>
        <w:spacing w:line="560" w:lineRule="exact"/>
        <w:rPr>
          <w:rFonts w:hint="default" w:ascii="Times New Roman" w:hAnsi="Times New Roman" w:eastAsia="方正仿宋_GBK" w:cs="Times New Roman"/>
          <w:bCs/>
          <w:color w:val="000000"/>
          <w:sz w:val="28"/>
        </w:rPr>
      </w:pPr>
    </w:p>
    <w:p>
      <w:pPr>
        <w:pStyle w:val="3"/>
        <w:spacing w:line="560" w:lineRule="exact"/>
        <w:rPr>
          <w:rFonts w:hint="default" w:ascii="Times New Roman" w:hAnsi="Times New Roman" w:eastAsia="方正仿宋_GBK" w:cs="Times New Roman"/>
          <w:bCs/>
          <w:color w:val="000000"/>
          <w:sz w:val="28"/>
        </w:rPr>
      </w:pPr>
    </w:p>
    <w:p>
      <w:pPr>
        <w:tabs>
          <w:tab w:val="left" w:pos="554"/>
          <w:tab w:val="right" w:pos="9180"/>
        </w:tabs>
        <w:spacing w:line="560" w:lineRule="exact"/>
        <w:rPr>
          <w:rFonts w:hint="default" w:ascii="Times New Roman" w:hAnsi="Times New Roman" w:cs="Times New Roman"/>
          <w:color w:val="000000"/>
          <w:sz w:val="14"/>
          <w:szCs w:val="14"/>
        </w:rPr>
      </w:pPr>
      <w:r>
        <w:rPr>
          <w:rFonts w:hint="default" w:ascii="Times New Roman" w:hAnsi="Times New Roman" w:cs="Times New Roman"/>
          <w:bCs/>
          <w:szCs w:val="21"/>
        </w:rPr>
        <mc:AlternateContent>
          <mc:Choice Requires="wps">
            <w:drawing>
              <wp:anchor distT="0" distB="0" distL="114300" distR="114300" simplePos="0" relativeHeight="251662336" behindDoc="0" locked="0" layoutInCell="1" allowOverlap="1">
                <wp:simplePos x="0" y="0"/>
                <wp:positionH relativeFrom="column">
                  <wp:posOffset>-18415</wp:posOffset>
                </wp:positionH>
                <wp:positionV relativeFrom="paragraph">
                  <wp:posOffset>41910</wp:posOffset>
                </wp:positionV>
                <wp:extent cx="5587365"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587365" cy="635"/>
                        </a:xfrm>
                        <a:prstGeom prst="line">
                          <a:avLst/>
                        </a:prstGeom>
                        <a:ln w="9525" cap="flat" cmpd="sng">
                          <a:solidFill>
                            <a:srgbClr val="000000"/>
                          </a:solidFill>
                          <a:prstDash val="solid"/>
                          <a:bevel/>
                          <a:headEnd type="none" w="med" len="med"/>
                          <a:tailEnd type="none" w="med" len="med"/>
                        </a:ln>
                        <a:effectLst/>
                      </wps:spPr>
                      <wps:bodyPr upright="1"/>
                    </wps:wsp>
                  </a:graphicData>
                </a:graphic>
              </wp:anchor>
            </w:drawing>
          </mc:Choice>
          <mc:Fallback>
            <w:pict>
              <v:line id="_x0000_s1026" o:spid="_x0000_s1026" o:spt="20" style="position:absolute;left:0pt;margin-left:-1.45pt;margin-top:3.3pt;height:0.05pt;width:439.95pt;z-index:251662336;mso-width-relative:page;mso-height-relative:page;" filled="f" stroked="t" coordsize="21600,21600" o:gfxdata="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W7TPHUAAAABgEA&#10;AA8AAAAAAAAAAQAgAAAAIgAAAGRycy9kb3ducmV2LnhtbFBLAQIUABQAAAAIAIdO4kCvMR8T5QEA&#10;ALIDAAAOAAAAAAAAAAEAIAAAACMBAABkcnMvZTJvRG9jLnhtbFBLBQYAAAAABgAGAFkBAAB6BQAA&#10;AAA=&#10;">
                <v:fill on="f" focussize="0,0"/>
                <v:stroke color="#000000" joinstyle="bevel"/>
                <v:imagedata o:title=""/>
                <o:lock v:ext="edit" aspectratio="f"/>
              </v:line>
            </w:pict>
          </mc:Fallback>
        </mc:AlternateContent>
      </w:r>
      <w:r>
        <w:rPr>
          <w:rFonts w:hint="default" w:ascii="Times New Roman" w:hAnsi="Times New Roman" w:cs="Times New Roman"/>
          <w:bCs/>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408940</wp:posOffset>
                </wp:positionV>
                <wp:extent cx="55880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88000" cy="635"/>
                        </a:xfrm>
                        <a:prstGeom prst="line">
                          <a:avLst/>
                        </a:prstGeom>
                        <a:ln w="9525" cap="flat" cmpd="sng">
                          <a:solidFill>
                            <a:srgbClr val="000000"/>
                          </a:solidFill>
                          <a:prstDash val="solid"/>
                          <a:bevel/>
                          <a:headEnd type="none" w="med" len="med"/>
                          <a:tailEnd type="none" w="med" len="med"/>
                        </a:ln>
                        <a:effectLst/>
                      </wps:spPr>
                      <wps:bodyPr upright="1"/>
                    </wps:wsp>
                  </a:graphicData>
                </a:graphic>
              </wp:anchor>
            </w:drawing>
          </mc:Choice>
          <mc:Fallback>
            <w:pict>
              <v:line id="_x0000_s1026" o:spid="_x0000_s1026" o:spt="20" style="position:absolute;left:0pt;margin-left:0pt;margin-top:32.2pt;height:0.05pt;width:440pt;z-index:251661312;mso-width-relative:page;mso-height-relative:page;" filled="f" stroked="t" coordsize="21600,21600" o:gfxdata="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fT2jf0wAAAAYB&#10;AAAPAAAAAAAAAAEAIAAAACIAAABkcnMvZG93bnJldi54bWxQSwECFAAUAAAACACHTuJAPNaEy+cB&#10;AACwAwAADgAAAAAAAAABACAAAAAiAQAAZHJzL2Uyb0RvYy54bWxQSwUGAAAAAAYABgBZAQAAewUA&#10;AAAA&#10;">
                <v:fill on="f" focussize="0,0"/>
                <v:stroke color="#000000" joinstyle="bevel"/>
                <v:imagedata o:title=""/>
                <o:lock v:ext="edit" aspectratio="f"/>
              </v:line>
            </w:pict>
          </mc:Fallback>
        </mc:AlternateContent>
      </w:r>
      <w:r>
        <w:rPr>
          <w:rFonts w:hint="default" w:ascii="Times New Roman" w:hAnsi="Times New Roman" w:eastAsia="方正仿宋_GBK" w:cs="Times New Roman"/>
          <w:bCs/>
          <w:color w:val="000000"/>
          <w:sz w:val="28"/>
        </w:rPr>
        <w:t xml:space="preserve">  重庆市北碚区卫生健康委员会党政办公室   </w:t>
      </w:r>
      <w:r>
        <w:rPr>
          <w:rFonts w:hint="default" w:ascii="Times New Roman" w:hAnsi="Times New Roman" w:cs="Times New Roman"/>
          <w:bCs/>
          <w:color w:val="000000"/>
          <w:sz w:val="28"/>
        </w:rPr>
        <w:t xml:space="preserve"> </w:t>
      </w:r>
      <w:r>
        <w:rPr>
          <w:rFonts w:hint="default" w:ascii="Times New Roman" w:hAnsi="Times New Roman" w:eastAsia="方正仿宋_GBK" w:cs="Times New Roman"/>
          <w:bCs/>
          <w:color w:val="000000"/>
          <w:sz w:val="28"/>
        </w:rPr>
        <w:t>202</w:t>
      </w:r>
      <w:r>
        <w:rPr>
          <w:rFonts w:hint="eastAsia" w:ascii="Times New Roman" w:hAnsi="Times New Roman" w:eastAsia="方正仿宋_GBK" w:cs="Times New Roman"/>
          <w:bCs/>
          <w:color w:val="000000"/>
          <w:sz w:val="28"/>
          <w:lang w:val="en-US" w:eastAsia="zh-CN"/>
        </w:rPr>
        <w:t>2</w:t>
      </w:r>
      <w:r>
        <w:rPr>
          <w:rFonts w:hint="default" w:ascii="Times New Roman" w:hAnsi="Times New Roman" w:eastAsia="方正仿宋_GBK" w:cs="Times New Roman"/>
          <w:bCs/>
          <w:color w:val="000000"/>
          <w:sz w:val="28"/>
        </w:rPr>
        <w:t>年</w:t>
      </w:r>
      <w:r>
        <w:rPr>
          <w:rFonts w:hint="default" w:ascii="Times New Roman" w:hAnsi="Times New Roman" w:cs="Times New Roman"/>
          <w:bCs/>
          <w:color w:val="000000"/>
          <w:sz w:val="28"/>
        </w:rPr>
        <w:t>1</w:t>
      </w:r>
      <w:r>
        <w:rPr>
          <w:rFonts w:hint="default" w:ascii="Times New Roman" w:hAnsi="Times New Roman" w:eastAsia="方正仿宋_GBK" w:cs="Times New Roman"/>
          <w:bCs/>
          <w:color w:val="000000"/>
          <w:sz w:val="28"/>
        </w:rPr>
        <w:t>月</w:t>
      </w:r>
      <w:r>
        <w:rPr>
          <w:rFonts w:hint="eastAsia" w:ascii="Times New Roman" w:hAnsi="Times New Roman" w:eastAsia="方正仿宋_GBK" w:cs="Times New Roman"/>
          <w:bCs/>
          <w:color w:val="000000"/>
          <w:sz w:val="28"/>
          <w:lang w:val="en-US" w:eastAsia="zh-CN"/>
        </w:rPr>
        <w:t>11</w:t>
      </w:r>
      <w:r>
        <w:rPr>
          <w:rFonts w:hint="default" w:ascii="Times New Roman" w:hAnsi="Times New Roman" w:eastAsia="方正仿宋_GBK" w:cs="Times New Roman"/>
          <w:bCs/>
          <w:color w:val="000000"/>
          <w:sz w:val="28"/>
        </w:rPr>
        <w:t>日印发</w:t>
      </w:r>
    </w:p>
    <w:sectPr>
      <w:pgSz w:w="11906" w:h="16838"/>
      <w:pgMar w:top="2098" w:right="1474" w:bottom="1984" w:left="1587" w:header="851" w:footer="992" w:gutter="0"/>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Style w:val="8"/>
                              <w:rFonts w:asciiTheme="minorEastAsia" w:hAnsiTheme="minorEastAsia" w:cstheme="minorEastAsia"/>
                              <w:sz w:val="32"/>
                              <w:szCs w:val="32"/>
                            </w:rPr>
                          </w:pPr>
                          <w:r>
                            <w:rPr>
                              <w:rFonts w:hint="eastAsia" w:asciiTheme="minorEastAsia" w:hAnsiTheme="minorEastAsia" w:cstheme="minorEastAsia"/>
                              <w:sz w:val="32"/>
                              <w:szCs w:val="32"/>
                            </w:rPr>
                            <w:t>—</w:t>
                          </w:r>
                          <w:r>
                            <w:rPr>
                              <w:rFonts w:hint="eastAsia" w:asciiTheme="minorEastAsia" w:hAnsiTheme="minorEastAsia" w:cstheme="minorEastAsia"/>
                              <w:sz w:val="32"/>
                              <w:szCs w:val="32"/>
                            </w:rPr>
                            <w:fldChar w:fldCharType="begin"/>
                          </w:r>
                          <w:r>
                            <w:rPr>
                              <w:rStyle w:val="8"/>
                              <w:rFonts w:hint="eastAsia" w:asciiTheme="minorEastAsia" w:hAnsiTheme="minorEastAsia" w:cstheme="minorEastAsia"/>
                              <w:sz w:val="32"/>
                              <w:szCs w:val="32"/>
                            </w:rPr>
                            <w:instrText xml:space="preserve">PAGE  </w:instrText>
                          </w:r>
                          <w:r>
                            <w:rPr>
                              <w:rFonts w:hint="eastAsia" w:asciiTheme="minorEastAsia" w:hAnsiTheme="minorEastAsia" w:cstheme="minorEastAsia"/>
                              <w:sz w:val="32"/>
                              <w:szCs w:val="32"/>
                            </w:rPr>
                            <w:fldChar w:fldCharType="separate"/>
                          </w:r>
                          <w:r>
                            <w:rPr>
                              <w:rStyle w:val="8"/>
                              <w:rFonts w:asciiTheme="minorEastAsia" w:hAnsiTheme="minorEastAsia" w:cstheme="minorEastAsia"/>
                              <w:sz w:val="32"/>
                              <w:szCs w:val="32"/>
                            </w:rPr>
                            <w:t>6</w:t>
                          </w:r>
                          <w:r>
                            <w:rPr>
                              <w:rFonts w:hint="eastAsia" w:asciiTheme="minorEastAsia" w:hAnsiTheme="minorEastAsia" w:cstheme="minorEastAsia"/>
                              <w:sz w:val="32"/>
                              <w:szCs w:val="32"/>
                            </w:rPr>
                            <w:fldChar w:fldCharType="end"/>
                          </w:r>
                          <w:r>
                            <w:rPr>
                              <w:rFonts w:hint="eastAsia" w:asciiTheme="minorEastAsia" w:hAnsiTheme="minorEastAsia" w:cstheme="minorEastAsia"/>
                              <w:sz w:val="32"/>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0MN4bAgAAIQ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3pFiWUGR3T68f308/fp1zcySfC0LszQauPQLnbvoMMxD/8BP1PXnfQm&#10;3dgPQT0CfbyAK7pIeHKaTqbTElUcdcMD4xdP7s6H+F6AIUmoqMfpZVDZYR1ibzqYpGwWVkrrPEFt&#10;SVvR66u3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GA0MN4bAgAAIQQAAA4A&#10;AAAAAAAAAQAgAAAAHwEAAGRycy9lMm9Eb2MueG1sUEsFBgAAAAAGAAYAWQEAAKwFAAAAAA==&#10;">
              <v:fill on="f" focussize="0,0"/>
              <v:stroke on="f" weight="0.5pt"/>
              <v:imagedata o:title=""/>
              <o:lock v:ext="edit" aspectratio="f"/>
              <v:textbox inset="0mm,0mm,0mm,0mm" style="mso-fit-shape-to-text:t;">
                <w:txbxContent>
                  <w:p>
                    <w:pPr>
                      <w:pStyle w:val="4"/>
                      <w:rPr>
                        <w:rStyle w:val="8"/>
                        <w:rFonts w:asciiTheme="minorEastAsia" w:hAnsiTheme="minorEastAsia" w:cstheme="minorEastAsia"/>
                        <w:sz w:val="32"/>
                        <w:szCs w:val="32"/>
                      </w:rPr>
                    </w:pPr>
                    <w:r>
                      <w:rPr>
                        <w:rFonts w:hint="eastAsia" w:asciiTheme="minorEastAsia" w:hAnsiTheme="minorEastAsia" w:cstheme="minorEastAsia"/>
                        <w:sz w:val="32"/>
                        <w:szCs w:val="32"/>
                      </w:rPr>
                      <w:t>—</w:t>
                    </w:r>
                    <w:r>
                      <w:rPr>
                        <w:rFonts w:hint="eastAsia" w:asciiTheme="minorEastAsia" w:hAnsiTheme="minorEastAsia" w:cstheme="minorEastAsia"/>
                        <w:sz w:val="32"/>
                        <w:szCs w:val="32"/>
                      </w:rPr>
                      <w:fldChar w:fldCharType="begin"/>
                    </w:r>
                    <w:r>
                      <w:rPr>
                        <w:rStyle w:val="8"/>
                        <w:rFonts w:hint="eastAsia" w:asciiTheme="minorEastAsia" w:hAnsiTheme="minorEastAsia" w:cstheme="minorEastAsia"/>
                        <w:sz w:val="32"/>
                        <w:szCs w:val="32"/>
                      </w:rPr>
                      <w:instrText xml:space="preserve">PAGE  </w:instrText>
                    </w:r>
                    <w:r>
                      <w:rPr>
                        <w:rFonts w:hint="eastAsia" w:asciiTheme="minorEastAsia" w:hAnsiTheme="minorEastAsia" w:cstheme="minorEastAsia"/>
                        <w:sz w:val="32"/>
                        <w:szCs w:val="32"/>
                      </w:rPr>
                      <w:fldChar w:fldCharType="separate"/>
                    </w:r>
                    <w:r>
                      <w:rPr>
                        <w:rStyle w:val="8"/>
                        <w:rFonts w:asciiTheme="minorEastAsia" w:hAnsiTheme="minorEastAsia" w:cstheme="minorEastAsia"/>
                        <w:sz w:val="32"/>
                        <w:szCs w:val="32"/>
                      </w:rPr>
                      <w:t>6</w:t>
                    </w:r>
                    <w:r>
                      <w:rPr>
                        <w:rFonts w:hint="eastAsia" w:asciiTheme="minorEastAsia" w:hAnsiTheme="minorEastAsia" w:cstheme="minorEastAsia"/>
                        <w:sz w:val="32"/>
                        <w:szCs w:val="32"/>
                      </w:rPr>
                      <w:fldChar w:fldCharType="end"/>
                    </w:r>
                    <w:r>
                      <w:rPr>
                        <w:rFonts w:hint="eastAsia" w:asciiTheme="minorEastAsia" w:hAnsiTheme="minorEastAsia" w:cstheme="minorEastAsia"/>
                        <w:sz w:val="32"/>
                        <w:szCs w:val="3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jc w:val="center"/>
                            <w:rPr>
                              <w:rFonts w:asciiTheme="minorEastAsia" w:hAnsiTheme="minorEastAsia" w:cstheme="minorEastAsia"/>
                              <w:sz w:val="32"/>
                              <w:szCs w:val="32"/>
                            </w:rPr>
                          </w:pPr>
                          <w:r>
                            <w:rPr>
                              <w:rFonts w:hint="eastAsia" w:asciiTheme="minorEastAsia" w:hAnsiTheme="minorEastAsia" w:cstheme="minorEastAsia"/>
                              <w:sz w:val="32"/>
                              <w:szCs w:val="32"/>
                            </w:rPr>
                            <w:t>—</w:t>
                          </w: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12</w:t>
                          </w:r>
                          <w:r>
                            <w:rPr>
                              <w:rFonts w:hint="eastAsia" w:asciiTheme="minorEastAsia" w:hAnsiTheme="minorEastAsia" w:cstheme="minorEastAsia"/>
                              <w:sz w:val="32"/>
                              <w:szCs w:val="32"/>
                            </w:rPr>
                            <w:fldChar w:fldCharType="end"/>
                          </w:r>
                          <w:r>
                            <w:rPr>
                              <w:rFonts w:hint="eastAsia" w:asciiTheme="minorEastAsia" w:hAnsiTheme="minorEastAsia" w:cstheme="minorEastAsia"/>
                              <w:sz w:val="32"/>
                              <w:szCs w:val="32"/>
                            </w:rPr>
                            <w:t>—</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vXYdtLsBAABiAwAADgAAAAAAAAABACAAAAAeAQAAZHJzL2Uyb0RvYy54bWxQSwUGAAAAAAYA&#10;BgBZAQAASwUAAAAA&#10;">
              <v:fill on="f" focussize="0,0"/>
              <v:stroke on="f"/>
              <v:imagedata o:title=""/>
              <o:lock v:ext="edit" aspectratio="f"/>
              <v:textbox inset="0mm,0mm,0mm,0mm" style="mso-fit-shape-to-text:t;">
                <w:txbxContent>
                  <w:p>
                    <w:pPr>
                      <w:pStyle w:val="4"/>
                      <w:jc w:val="center"/>
                      <w:rPr>
                        <w:rFonts w:asciiTheme="minorEastAsia" w:hAnsiTheme="minorEastAsia" w:cstheme="minorEastAsia"/>
                        <w:sz w:val="32"/>
                        <w:szCs w:val="32"/>
                      </w:rPr>
                    </w:pPr>
                    <w:r>
                      <w:rPr>
                        <w:rFonts w:hint="eastAsia" w:asciiTheme="minorEastAsia" w:hAnsiTheme="minorEastAsia" w:cstheme="minorEastAsia"/>
                        <w:sz w:val="32"/>
                        <w:szCs w:val="32"/>
                      </w:rPr>
                      <w:t>—</w:t>
                    </w: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12</w:t>
                    </w:r>
                    <w:r>
                      <w:rPr>
                        <w:rFonts w:hint="eastAsia" w:asciiTheme="minorEastAsia" w:hAnsiTheme="minorEastAsia" w:cstheme="minorEastAsia"/>
                        <w:sz w:val="32"/>
                        <w:szCs w:val="32"/>
                      </w:rPr>
                      <w:fldChar w:fldCharType="end"/>
                    </w:r>
                    <w:r>
                      <w:rPr>
                        <w:rFonts w:hint="eastAsia" w:asciiTheme="minorEastAsia" w:hAnsiTheme="minorEastAsia" w:cstheme="minorEastAsia"/>
                        <w:sz w:val="32"/>
                        <w:szCs w:val="32"/>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D301E6"/>
    <w:multiLevelType w:val="singleLevel"/>
    <w:tmpl w:val="F0D301E6"/>
    <w:lvl w:ilvl="0" w:tentative="0">
      <w:start w:val="1"/>
      <w:numFmt w:val="lowerLetter"/>
      <w:suff w:val="space"/>
      <w:lvlText w:val="%1."/>
      <w:lvlJc w:val="left"/>
    </w:lvl>
  </w:abstractNum>
  <w:abstractNum w:abstractNumId="1">
    <w:nsid w:val="587765BE"/>
    <w:multiLevelType w:val="singleLevel"/>
    <w:tmpl w:val="587765B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4"/>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44E26"/>
    <w:rsid w:val="00006280"/>
    <w:rsid w:val="00027E73"/>
    <w:rsid w:val="000448AC"/>
    <w:rsid w:val="000763A8"/>
    <w:rsid w:val="000A2297"/>
    <w:rsid w:val="000B5914"/>
    <w:rsid w:val="000B7F4A"/>
    <w:rsid w:val="000D0DC1"/>
    <w:rsid w:val="00112657"/>
    <w:rsid w:val="001407DC"/>
    <w:rsid w:val="0015508D"/>
    <w:rsid w:val="00160A37"/>
    <w:rsid w:val="001630F9"/>
    <w:rsid w:val="00180FAA"/>
    <w:rsid w:val="0019581B"/>
    <w:rsid w:val="00195B0D"/>
    <w:rsid w:val="0019701D"/>
    <w:rsid w:val="001A39A4"/>
    <w:rsid w:val="001B6E50"/>
    <w:rsid w:val="001C2EE8"/>
    <w:rsid w:val="001C5F55"/>
    <w:rsid w:val="001F7570"/>
    <w:rsid w:val="00204351"/>
    <w:rsid w:val="002317DD"/>
    <w:rsid w:val="00240C95"/>
    <w:rsid w:val="0025457D"/>
    <w:rsid w:val="00255FBE"/>
    <w:rsid w:val="00267CB4"/>
    <w:rsid w:val="0029249F"/>
    <w:rsid w:val="002C4BE7"/>
    <w:rsid w:val="002E671F"/>
    <w:rsid w:val="003069C5"/>
    <w:rsid w:val="00312A0F"/>
    <w:rsid w:val="0039521B"/>
    <w:rsid w:val="003A3430"/>
    <w:rsid w:val="003C0A18"/>
    <w:rsid w:val="003C7535"/>
    <w:rsid w:val="003D09E3"/>
    <w:rsid w:val="003D4631"/>
    <w:rsid w:val="004017D0"/>
    <w:rsid w:val="00401EBA"/>
    <w:rsid w:val="00464DCE"/>
    <w:rsid w:val="00473BDB"/>
    <w:rsid w:val="004839D6"/>
    <w:rsid w:val="00497635"/>
    <w:rsid w:val="004C0CBD"/>
    <w:rsid w:val="00503971"/>
    <w:rsid w:val="00506BCC"/>
    <w:rsid w:val="00516BB8"/>
    <w:rsid w:val="00516EF1"/>
    <w:rsid w:val="00554B74"/>
    <w:rsid w:val="00563E0F"/>
    <w:rsid w:val="00564DA2"/>
    <w:rsid w:val="00580EC2"/>
    <w:rsid w:val="005922AE"/>
    <w:rsid w:val="005E31BE"/>
    <w:rsid w:val="005F038D"/>
    <w:rsid w:val="00607607"/>
    <w:rsid w:val="00607CCF"/>
    <w:rsid w:val="0063204E"/>
    <w:rsid w:val="00634877"/>
    <w:rsid w:val="00656273"/>
    <w:rsid w:val="00686EE6"/>
    <w:rsid w:val="006A158A"/>
    <w:rsid w:val="006A5745"/>
    <w:rsid w:val="006D4526"/>
    <w:rsid w:val="006E73F6"/>
    <w:rsid w:val="00712869"/>
    <w:rsid w:val="007312B3"/>
    <w:rsid w:val="00736BB4"/>
    <w:rsid w:val="007963D3"/>
    <w:rsid w:val="007A2A98"/>
    <w:rsid w:val="007A55F9"/>
    <w:rsid w:val="007A777D"/>
    <w:rsid w:val="00875FD2"/>
    <w:rsid w:val="0088661B"/>
    <w:rsid w:val="008A1407"/>
    <w:rsid w:val="0093359B"/>
    <w:rsid w:val="009437A8"/>
    <w:rsid w:val="00945636"/>
    <w:rsid w:val="009609AD"/>
    <w:rsid w:val="009A5374"/>
    <w:rsid w:val="009B5581"/>
    <w:rsid w:val="009C057F"/>
    <w:rsid w:val="00A06070"/>
    <w:rsid w:val="00A232CF"/>
    <w:rsid w:val="00A32649"/>
    <w:rsid w:val="00A356BC"/>
    <w:rsid w:val="00A50F2C"/>
    <w:rsid w:val="00A858CD"/>
    <w:rsid w:val="00AD62C5"/>
    <w:rsid w:val="00AF3A8F"/>
    <w:rsid w:val="00AF5AAE"/>
    <w:rsid w:val="00B055A5"/>
    <w:rsid w:val="00B21818"/>
    <w:rsid w:val="00B30059"/>
    <w:rsid w:val="00B317E4"/>
    <w:rsid w:val="00B43136"/>
    <w:rsid w:val="00B45502"/>
    <w:rsid w:val="00B5547E"/>
    <w:rsid w:val="00B6711C"/>
    <w:rsid w:val="00B76536"/>
    <w:rsid w:val="00B80C22"/>
    <w:rsid w:val="00BB2AC3"/>
    <w:rsid w:val="00BB7062"/>
    <w:rsid w:val="00BC5FC9"/>
    <w:rsid w:val="00BE0226"/>
    <w:rsid w:val="00BE3781"/>
    <w:rsid w:val="00C11DAB"/>
    <w:rsid w:val="00C44CF0"/>
    <w:rsid w:val="00C474CE"/>
    <w:rsid w:val="00C6725F"/>
    <w:rsid w:val="00D14526"/>
    <w:rsid w:val="00D5180E"/>
    <w:rsid w:val="00D62440"/>
    <w:rsid w:val="00D7638C"/>
    <w:rsid w:val="00D963BF"/>
    <w:rsid w:val="00DE1371"/>
    <w:rsid w:val="00E41F15"/>
    <w:rsid w:val="00E43219"/>
    <w:rsid w:val="00E710F1"/>
    <w:rsid w:val="00E865A2"/>
    <w:rsid w:val="00E921BF"/>
    <w:rsid w:val="00EA76A5"/>
    <w:rsid w:val="00EC2EF7"/>
    <w:rsid w:val="00EE3324"/>
    <w:rsid w:val="00EE61F4"/>
    <w:rsid w:val="00F17BBB"/>
    <w:rsid w:val="00F269CA"/>
    <w:rsid w:val="00F302EE"/>
    <w:rsid w:val="00F51887"/>
    <w:rsid w:val="00F54634"/>
    <w:rsid w:val="00F76DFB"/>
    <w:rsid w:val="00FD674B"/>
    <w:rsid w:val="00FE4098"/>
    <w:rsid w:val="01343D42"/>
    <w:rsid w:val="017655D2"/>
    <w:rsid w:val="018A0447"/>
    <w:rsid w:val="02625BAE"/>
    <w:rsid w:val="02BC6468"/>
    <w:rsid w:val="036E4416"/>
    <w:rsid w:val="03B81C6A"/>
    <w:rsid w:val="04454F09"/>
    <w:rsid w:val="04CB2F9B"/>
    <w:rsid w:val="05DD2968"/>
    <w:rsid w:val="06A664D8"/>
    <w:rsid w:val="074053EE"/>
    <w:rsid w:val="074F0124"/>
    <w:rsid w:val="078C5211"/>
    <w:rsid w:val="0A040E6B"/>
    <w:rsid w:val="0A946655"/>
    <w:rsid w:val="0AD61FE2"/>
    <w:rsid w:val="0C677721"/>
    <w:rsid w:val="0CCB4CC7"/>
    <w:rsid w:val="0EAD4359"/>
    <w:rsid w:val="0F7A7A94"/>
    <w:rsid w:val="0FB65E46"/>
    <w:rsid w:val="10460AF6"/>
    <w:rsid w:val="10DA464B"/>
    <w:rsid w:val="11066F6E"/>
    <w:rsid w:val="119339AB"/>
    <w:rsid w:val="12420AD9"/>
    <w:rsid w:val="12735F6D"/>
    <w:rsid w:val="13D1406D"/>
    <w:rsid w:val="179914A2"/>
    <w:rsid w:val="1B230952"/>
    <w:rsid w:val="1C217892"/>
    <w:rsid w:val="1CAC0FAF"/>
    <w:rsid w:val="1CFE1667"/>
    <w:rsid w:val="1D3764BF"/>
    <w:rsid w:val="1DFD5D4B"/>
    <w:rsid w:val="20516341"/>
    <w:rsid w:val="24484690"/>
    <w:rsid w:val="25A56BF0"/>
    <w:rsid w:val="29424617"/>
    <w:rsid w:val="2A540A47"/>
    <w:rsid w:val="2AEB6081"/>
    <w:rsid w:val="2EFE239F"/>
    <w:rsid w:val="2F3E42EF"/>
    <w:rsid w:val="2F7D013C"/>
    <w:rsid w:val="2FFF75AD"/>
    <w:rsid w:val="319F4CB5"/>
    <w:rsid w:val="33251421"/>
    <w:rsid w:val="334A01F5"/>
    <w:rsid w:val="36D14C45"/>
    <w:rsid w:val="37294B5A"/>
    <w:rsid w:val="379E4550"/>
    <w:rsid w:val="37CD3EA7"/>
    <w:rsid w:val="3865161F"/>
    <w:rsid w:val="391E7B70"/>
    <w:rsid w:val="3A1A5AC0"/>
    <w:rsid w:val="3A6A3BA6"/>
    <w:rsid w:val="3B6A35C1"/>
    <w:rsid w:val="3BD21BC3"/>
    <w:rsid w:val="441D2B3F"/>
    <w:rsid w:val="45436410"/>
    <w:rsid w:val="46402A33"/>
    <w:rsid w:val="46844E26"/>
    <w:rsid w:val="49134211"/>
    <w:rsid w:val="49A86FE2"/>
    <w:rsid w:val="4AF849F2"/>
    <w:rsid w:val="4B91083D"/>
    <w:rsid w:val="4C9D1824"/>
    <w:rsid w:val="4CA0714F"/>
    <w:rsid w:val="4CE91E21"/>
    <w:rsid w:val="4D092D7F"/>
    <w:rsid w:val="4DBE4550"/>
    <w:rsid w:val="4EAB2D3E"/>
    <w:rsid w:val="504311A9"/>
    <w:rsid w:val="51BE339B"/>
    <w:rsid w:val="52DE49A7"/>
    <w:rsid w:val="54D151DC"/>
    <w:rsid w:val="559441D2"/>
    <w:rsid w:val="55DC129F"/>
    <w:rsid w:val="56160C12"/>
    <w:rsid w:val="56801417"/>
    <w:rsid w:val="58872A48"/>
    <w:rsid w:val="59EE40B2"/>
    <w:rsid w:val="5A832DC8"/>
    <w:rsid w:val="5B116A07"/>
    <w:rsid w:val="5BC949D8"/>
    <w:rsid w:val="5C4A6C33"/>
    <w:rsid w:val="5C515781"/>
    <w:rsid w:val="5F822FA9"/>
    <w:rsid w:val="6004787B"/>
    <w:rsid w:val="604E7B06"/>
    <w:rsid w:val="614C26E7"/>
    <w:rsid w:val="61B45104"/>
    <w:rsid w:val="63135817"/>
    <w:rsid w:val="63612A9E"/>
    <w:rsid w:val="638259B3"/>
    <w:rsid w:val="642403E3"/>
    <w:rsid w:val="655B7957"/>
    <w:rsid w:val="66377A70"/>
    <w:rsid w:val="685669FE"/>
    <w:rsid w:val="689E1745"/>
    <w:rsid w:val="6CBA0D62"/>
    <w:rsid w:val="6D0C343C"/>
    <w:rsid w:val="6D391B65"/>
    <w:rsid w:val="6F1303FA"/>
    <w:rsid w:val="719458CA"/>
    <w:rsid w:val="719E75E4"/>
    <w:rsid w:val="728B0C7F"/>
    <w:rsid w:val="74CA342D"/>
    <w:rsid w:val="74DB4296"/>
    <w:rsid w:val="75C87B12"/>
    <w:rsid w:val="768E0C78"/>
    <w:rsid w:val="77B129BE"/>
    <w:rsid w:val="78D779AA"/>
    <w:rsid w:val="792A1F9B"/>
    <w:rsid w:val="7B772F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line="592" w:lineRule="exact"/>
      <w:ind w:left="348"/>
      <w:outlineLvl w:val="0"/>
    </w:pPr>
    <w:rPr>
      <w:rFonts w:ascii="PMingLiU" w:hAnsi="PMingLiU" w:eastAsia="PMingLiU" w:cs="PMingLiU"/>
      <w:sz w:val="44"/>
      <w:szCs w:val="44"/>
      <w:lang w:val="zh-CN" w:eastAsia="zh-CN" w:bidi="zh-CN"/>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next w:val="1"/>
    <w:qFormat/>
    <w:uiPriority w:val="0"/>
    <w:pPr>
      <w:spacing w:line="840" w:lineRule="exact"/>
    </w:pPr>
    <w:rPr>
      <w:sz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666</Words>
  <Characters>3801</Characters>
  <Lines>31</Lines>
  <Paragraphs>8</Paragraphs>
  <TotalTime>1</TotalTime>
  <ScaleCrop>false</ScaleCrop>
  <LinksUpToDate>false</LinksUpToDate>
  <CharactersWithSpaces>4459</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2021-01-04T09:22:00Z</dcterms:created>
  <dc:creator>hp</dc:creator>
  <cp:lastModifiedBy>早春不过一棵树ಥ</cp:lastModifiedBy>
  <cp:lastPrinted>2022-01-11T08:38:46Z</cp:lastPrinted>
  <dcterms:modified xsi:type="dcterms:W3CDTF">2022-01-11T08:38:55Z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KSOSaveFontToCloudKey">
    <vt:lpwstr>430679269_btnclosed</vt:lpwstr>
  </property>
  <property fmtid="{D5CDD505-2E9C-101B-9397-08002B2CF9AE}" pid="4" name="ICV">
    <vt:lpwstr>3ED67B2DB57B497B8908C6DDB4BFA4C0</vt:lpwstr>
  </property>
</Properties>
</file>