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黑体" w:eastAsia="黑体" w:cs="黑体"/>
          <w:b/>
          <w:bCs/>
          <w:color w:val="auto"/>
          <w:sz w:val="36"/>
          <w:szCs w:val="36"/>
          <w:highlight w:val="none"/>
          <w:lang w:eastAsia="zh-CN"/>
        </w:rPr>
      </w:pPr>
      <w:r>
        <w:rPr>
          <w:rFonts w:hint="eastAsia" w:ascii="黑体" w:hAnsi="黑体" w:eastAsia="黑体" w:cs="黑体"/>
          <w:b/>
          <w:bCs/>
          <w:color w:val="auto"/>
          <w:sz w:val="36"/>
          <w:szCs w:val="36"/>
          <w:highlight w:val="none"/>
          <w:lang w:eastAsia="zh-CN"/>
        </w:rPr>
        <w:t>北碚区水利工程安全</w:t>
      </w:r>
      <w:r>
        <w:rPr>
          <w:rFonts w:hint="eastAsia" w:ascii="黑体" w:hAnsi="黑体" w:eastAsia="黑体" w:cs="黑体"/>
          <w:b/>
          <w:bCs/>
          <w:color w:val="auto"/>
          <w:sz w:val="36"/>
          <w:szCs w:val="36"/>
          <w:highlight w:val="none"/>
          <w:lang w:val="en-US" w:eastAsia="zh-CN"/>
        </w:rPr>
        <w:t>生产</w:t>
      </w:r>
      <w:r>
        <w:rPr>
          <w:rFonts w:hint="eastAsia" w:ascii="黑体" w:hAnsi="黑体" w:eastAsia="黑体" w:cs="黑体"/>
          <w:b/>
          <w:bCs/>
          <w:color w:val="auto"/>
          <w:sz w:val="36"/>
          <w:szCs w:val="36"/>
          <w:highlight w:val="none"/>
          <w:lang w:eastAsia="zh-CN"/>
        </w:rPr>
        <w:t>监督检查及培训</w:t>
      </w:r>
    </w:p>
    <w:p>
      <w:pPr>
        <w:jc w:val="center"/>
        <w:outlineLvl w:val="0"/>
        <w:rPr>
          <w:rFonts w:hint="eastAsia" w:ascii="黑体" w:hAnsi="黑体" w:eastAsia="黑体" w:cs="黑体"/>
          <w:b/>
          <w:bCs/>
          <w:color w:val="auto"/>
          <w:sz w:val="36"/>
          <w:szCs w:val="36"/>
          <w:highlight w:val="none"/>
        </w:rPr>
      </w:pPr>
      <w:r>
        <w:rPr>
          <w:rFonts w:hint="eastAsia" w:ascii="黑体" w:hAnsi="黑体" w:eastAsia="黑体" w:cs="黑体"/>
          <w:b/>
          <w:bCs/>
          <w:color w:val="auto"/>
          <w:sz w:val="36"/>
          <w:szCs w:val="36"/>
        </w:rPr>
        <w:t>技术服务</w:t>
      </w:r>
      <w:r>
        <w:rPr>
          <w:rFonts w:hint="eastAsia" w:ascii="黑体" w:hAnsi="黑体" w:eastAsia="黑体" w:cs="黑体"/>
          <w:b/>
          <w:bCs/>
          <w:color w:val="auto"/>
          <w:sz w:val="36"/>
          <w:szCs w:val="36"/>
          <w:highlight w:val="none"/>
        </w:rPr>
        <w:t>采购公告</w:t>
      </w:r>
    </w:p>
    <w:p>
      <w:pPr>
        <w:rPr>
          <w:rFonts w:hint="eastAsia" w:ascii="方正仿宋_GBK" w:hAnsi="方正仿宋_GBK" w:eastAsia="方正仿宋_GBK" w:cs="方正仿宋_GBK"/>
          <w:color w:val="auto"/>
          <w:sz w:val="28"/>
          <w:szCs w:val="28"/>
        </w:rPr>
      </w:pPr>
    </w:p>
    <w:p>
      <w:pPr>
        <w:pageBreakBefore w:val="0"/>
        <w:kinsoku/>
        <w:wordWrap/>
        <w:overflowPunct/>
        <w:topLinePunct w:val="0"/>
        <w:autoSpaceDE/>
        <w:autoSpaceDN/>
        <w:bidi w:val="0"/>
        <w:adjustRightInd/>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重庆市北碚区水利局采购小组根据</w:t>
      </w:r>
      <w:r>
        <w:rPr>
          <w:rFonts w:hint="eastAsia" w:ascii="方正仿宋_GBK" w:hAnsi="方正仿宋_GBK" w:eastAsia="方正仿宋_GBK" w:cs="方正仿宋_GBK"/>
          <w:color w:val="auto"/>
          <w:sz w:val="28"/>
          <w:szCs w:val="28"/>
          <w:lang w:eastAsia="zh-CN"/>
        </w:rPr>
        <w:t>批准的采购计划</w:t>
      </w:r>
      <w:r>
        <w:rPr>
          <w:rFonts w:hint="eastAsia" w:ascii="方正仿宋_GBK" w:hAnsi="方正仿宋_GBK" w:eastAsia="方正仿宋_GBK" w:cs="方正仿宋_GBK"/>
          <w:color w:val="auto"/>
          <w:sz w:val="28"/>
          <w:szCs w:val="28"/>
        </w:rPr>
        <w:t>，拟对北碚区</w:t>
      </w:r>
      <w:r>
        <w:rPr>
          <w:rFonts w:hint="eastAsia" w:ascii="方正仿宋_GBK" w:hAnsi="方正仿宋_GBK" w:eastAsia="方正仿宋_GBK" w:cs="方正仿宋_GBK"/>
          <w:color w:val="auto"/>
          <w:sz w:val="28"/>
          <w:szCs w:val="28"/>
          <w:lang w:eastAsia="zh-CN"/>
        </w:rPr>
        <w:t>水利工程安全监督检查及培训技术服务</w:t>
      </w:r>
      <w:r>
        <w:rPr>
          <w:rFonts w:hint="eastAsia" w:ascii="方正仿宋_GBK" w:hAnsi="方正仿宋_GBK" w:eastAsia="方正仿宋_GBK" w:cs="方正仿宋_GBK"/>
          <w:color w:val="auto"/>
          <w:sz w:val="28"/>
          <w:szCs w:val="28"/>
        </w:rPr>
        <w:t>项目进行竞争性</w:t>
      </w:r>
      <w:r>
        <w:rPr>
          <w:rFonts w:hint="eastAsia" w:ascii="方正仿宋_GBK" w:hAnsi="方正仿宋_GBK" w:eastAsia="方正仿宋_GBK" w:cs="方正仿宋_GBK"/>
          <w:color w:val="auto"/>
          <w:sz w:val="28"/>
          <w:szCs w:val="28"/>
          <w:lang w:eastAsia="zh-CN"/>
        </w:rPr>
        <w:t>询比</w:t>
      </w:r>
      <w:r>
        <w:rPr>
          <w:rFonts w:hint="eastAsia" w:ascii="方正仿宋_GBK" w:hAnsi="方正仿宋_GBK" w:eastAsia="方正仿宋_GBK" w:cs="方正仿宋_GBK"/>
          <w:color w:val="auto"/>
          <w:sz w:val="28"/>
          <w:szCs w:val="28"/>
        </w:rPr>
        <w:t>，欢迎</w:t>
      </w:r>
      <w:r>
        <w:rPr>
          <w:rFonts w:hint="eastAsia" w:ascii="方正仿宋_GBK" w:hAnsi="方正仿宋_GBK" w:eastAsia="方正仿宋_GBK" w:cs="方正仿宋_GBK"/>
          <w:color w:val="auto"/>
          <w:sz w:val="28"/>
          <w:szCs w:val="28"/>
          <w:lang w:eastAsia="zh-CN"/>
        </w:rPr>
        <w:t>满足</w:t>
      </w:r>
      <w:r>
        <w:rPr>
          <w:rFonts w:hint="eastAsia" w:ascii="方正仿宋_GBK" w:hAnsi="方正仿宋_GBK" w:eastAsia="方正仿宋_GBK" w:cs="方正仿宋_GBK"/>
          <w:color w:val="auto"/>
          <w:sz w:val="28"/>
          <w:szCs w:val="28"/>
        </w:rPr>
        <w:t>资格要求的供应商参加。</w:t>
      </w:r>
    </w:p>
    <w:p>
      <w:pPr>
        <w:pStyle w:val="3"/>
        <w:pageBreakBefore w:val="0"/>
        <w:numPr>
          <w:ilvl w:val="0"/>
          <w:numId w:val="1"/>
        </w:numPr>
        <w:kinsoku/>
        <w:wordWrap/>
        <w:overflowPunct/>
        <w:topLinePunct w:val="0"/>
        <w:autoSpaceDE/>
        <w:autoSpaceDN/>
        <w:bidi w:val="0"/>
        <w:adjustRightInd/>
        <w:spacing w:before="0" w:after="0" w:line="480" w:lineRule="exact"/>
        <w:ind w:firstLine="562" w:firstLineChars="200"/>
        <w:textAlignment w:val="auto"/>
        <w:rPr>
          <w:rFonts w:hint="eastAsia" w:ascii="方正黑体_GBK" w:hAnsi="方正黑体_GBK" w:eastAsia="方正黑体_GBK" w:cs="方正黑体_GBK"/>
          <w:color w:val="auto"/>
          <w:sz w:val="28"/>
          <w:szCs w:val="28"/>
        </w:rPr>
      </w:pPr>
      <w:r>
        <w:rPr>
          <w:rFonts w:hint="eastAsia" w:ascii="方正黑体_GBK" w:hAnsi="方正黑体_GBK" w:eastAsia="方正黑体_GBK" w:cs="方正黑体_GBK"/>
          <w:b/>
          <w:color w:val="auto"/>
          <w:sz w:val="28"/>
          <w:szCs w:val="28"/>
        </w:rPr>
        <w:t>有关事项说明</w:t>
      </w:r>
      <w:r>
        <w:rPr>
          <w:rFonts w:hint="eastAsia" w:ascii="方正黑体_GBK" w:hAnsi="方正黑体_GBK" w:eastAsia="方正黑体_GBK" w:cs="方正黑体_GBK"/>
          <w:color w:val="auto"/>
          <w:sz w:val="28"/>
          <w:szCs w:val="28"/>
        </w:rPr>
        <w:t>：</w:t>
      </w:r>
    </w:p>
    <w:p>
      <w:pPr>
        <w:pageBreakBefore w:val="0"/>
        <w:kinsoku/>
        <w:wordWrap/>
        <w:overflowPunct/>
        <w:topLinePunct w:val="0"/>
        <w:autoSpaceDE/>
        <w:autoSpaceDN/>
        <w:bidi w:val="0"/>
        <w:adjustRightInd/>
        <w:spacing w:line="480" w:lineRule="exact"/>
        <w:ind w:firstLine="562" w:firstLineChars="200"/>
        <w:textAlignment w:val="auto"/>
        <w:rPr>
          <w:rFonts w:hint="eastAsia" w:ascii="方正仿宋_GBK" w:hAnsi="方正仿宋_GBK" w:eastAsia="方正仿宋_GBK" w:cs="方正仿宋_GBK"/>
          <w:color w:val="auto"/>
          <w:sz w:val="28"/>
          <w:szCs w:val="28"/>
        </w:rPr>
      </w:pPr>
      <w:r>
        <w:rPr>
          <w:rFonts w:hint="eastAsia" w:ascii="方正楷体_GBK" w:hAnsi="方正楷体_GBK" w:eastAsia="方正楷体_GBK" w:cs="方正楷体_GBK"/>
          <w:b/>
          <w:bCs/>
          <w:color w:val="auto"/>
          <w:sz w:val="28"/>
          <w:szCs w:val="28"/>
        </w:rPr>
        <w:t>项目名称：</w:t>
      </w:r>
      <w:r>
        <w:rPr>
          <w:rFonts w:hint="eastAsia" w:ascii="方正仿宋_GBK" w:hAnsi="方正仿宋_GBK" w:eastAsia="方正仿宋_GBK" w:cs="方正仿宋_GBK"/>
          <w:color w:val="auto"/>
          <w:sz w:val="28"/>
          <w:szCs w:val="28"/>
          <w:lang w:eastAsia="zh-CN"/>
        </w:rPr>
        <w:t>北碚区水利工程安全</w:t>
      </w:r>
      <w:r>
        <w:rPr>
          <w:rFonts w:hint="eastAsia" w:ascii="方正仿宋_GBK" w:hAnsi="方正仿宋_GBK" w:eastAsia="方正仿宋_GBK" w:cs="方正仿宋_GBK"/>
          <w:color w:val="auto"/>
          <w:sz w:val="28"/>
          <w:szCs w:val="28"/>
          <w:lang w:val="en-US" w:eastAsia="zh-CN"/>
        </w:rPr>
        <w:t>生产</w:t>
      </w:r>
      <w:r>
        <w:rPr>
          <w:rFonts w:hint="eastAsia" w:ascii="方正仿宋_GBK" w:hAnsi="方正仿宋_GBK" w:eastAsia="方正仿宋_GBK" w:cs="方正仿宋_GBK"/>
          <w:color w:val="auto"/>
          <w:sz w:val="28"/>
          <w:szCs w:val="28"/>
          <w:lang w:eastAsia="zh-CN"/>
        </w:rPr>
        <w:t>监督检查及培训技术服务</w:t>
      </w:r>
      <w:r>
        <w:rPr>
          <w:rFonts w:hint="eastAsia" w:ascii="方正仿宋_GBK" w:hAnsi="方正仿宋_GBK" w:eastAsia="方正仿宋_GBK" w:cs="方正仿宋_GBK"/>
          <w:color w:val="auto"/>
          <w:sz w:val="28"/>
          <w:szCs w:val="28"/>
        </w:rPr>
        <w:t>项目</w:t>
      </w:r>
    </w:p>
    <w:p>
      <w:pPr>
        <w:pageBreakBefore w:val="0"/>
        <w:kinsoku/>
        <w:wordWrap/>
        <w:overflowPunct/>
        <w:topLinePunct w:val="0"/>
        <w:autoSpaceDE/>
        <w:autoSpaceDN/>
        <w:bidi w:val="0"/>
        <w:adjustRightInd/>
        <w:spacing w:line="480" w:lineRule="exact"/>
        <w:ind w:firstLine="562" w:firstLineChars="200"/>
        <w:textAlignment w:val="auto"/>
        <w:rPr>
          <w:rFonts w:hint="eastAsia" w:ascii="方正仿宋_GBK" w:hAnsi="方正仿宋_GBK" w:eastAsia="方正仿宋_GBK" w:cs="方正仿宋_GBK"/>
          <w:color w:val="auto"/>
          <w:sz w:val="28"/>
          <w:szCs w:val="28"/>
          <w:lang w:eastAsia="zh-CN"/>
        </w:rPr>
      </w:pPr>
      <w:r>
        <w:rPr>
          <w:rFonts w:hint="eastAsia" w:ascii="方正楷体_GBK" w:hAnsi="方正楷体_GBK" w:eastAsia="方正楷体_GBK" w:cs="方正楷体_GBK"/>
          <w:b/>
          <w:bCs/>
          <w:color w:val="auto"/>
          <w:sz w:val="28"/>
          <w:szCs w:val="28"/>
        </w:rPr>
        <w:t>项目地点：</w:t>
      </w:r>
      <w:r>
        <w:rPr>
          <w:rFonts w:hint="eastAsia" w:ascii="方正仿宋_GBK" w:hAnsi="方正仿宋_GBK" w:eastAsia="方正仿宋_GBK" w:cs="方正仿宋_GBK"/>
          <w:color w:val="auto"/>
          <w:sz w:val="28"/>
          <w:szCs w:val="28"/>
          <w:lang w:eastAsia="zh-CN"/>
        </w:rPr>
        <w:t>重庆市北碚区</w:t>
      </w:r>
    </w:p>
    <w:p>
      <w:pPr>
        <w:pageBreakBefore w:val="0"/>
        <w:numPr>
          <w:ilvl w:val="0"/>
          <w:numId w:val="0"/>
        </w:numPr>
        <w:kinsoku/>
        <w:wordWrap/>
        <w:overflowPunct/>
        <w:topLinePunct w:val="0"/>
        <w:autoSpaceDE/>
        <w:autoSpaceDN/>
        <w:bidi w:val="0"/>
        <w:adjustRightInd/>
        <w:spacing w:line="480" w:lineRule="exact"/>
        <w:ind w:leftChars="200"/>
        <w:textAlignment w:val="auto"/>
        <w:rPr>
          <w:rFonts w:hint="eastAsia" w:ascii="方正楷体_GBK" w:hAnsi="方正楷体_GBK" w:eastAsia="方正楷体_GBK" w:cs="方正楷体_GBK"/>
          <w:b/>
          <w:bCs/>
          <w:color w:val="auto"/>
          <w:sz w:val="28"/>
          <w:szCs w:val="28"/>
        </w:rPr>
      </w:pPr>
      <w:r>
        <w:rPr>
          <w:rFonts w:hint="eastAsia" w:ascii="方正楷体_GBK" w:hAnsi="方正楷体_GBK" w:eastAsia="方正楷体_GBK" w:cs="方正楷体_GBK"/>
          <w:b/>
          <w:bCs/>
          <w:color w:val="auto"/>
          <w:sz w:val="28"/>
          <w:szCs w:val="28"/>
        </w:rPr>
        <w:t>技术服务范围：</w:t>
      </w:r>
    </w:p>
    <w:p>
      <w:pPr>
        <w:pageBreakBefore w:val="0"/>
        <w:numPr>
          <w:ilvl w:val="0"/>
          <w:numId w:val="0"/>
        </w:numPr>
        <w:kinsoku/>
        <w:wordWrap/>
        <w:overflowPunct/>
        <w:topLinePunct w:val="0"/>
        <w:autoSpaceDE/>
        <w:autoSpaceDN/>
        <w:bidi w:val="0"/>
        <w:adjustRightInd/>
        <w:spacing w:line="480" w:lineRule="exact"/>
        <w:ind w:leftChars="200"/>
        <w:textAlignment w:val="auto"/>
        <w:rPr>
          <w:rFonts w:hint="eastAsia"/>
          <w:b/>
          <w:bCs/>
          <w:color w:val="auto"/>
        </w:rPr>
      </w:pPr>
      <w:r>
        <w:rPr>
          <w:rFonts w:hint="eastAsia" w:ascii="方正仿宋_GBK" w:hAnsi="方正仿宋_GBK" w:eastAsia="方正仿宋_GBK" w:cs="方正仿宋_GBK"/>
          <w:b/>
          <w:bCs/>
          <w:color w:val="auto"/>
          <w:sz w:val="28"/>
          <w:szCs w:val="28"/>
          <w:lang w:val="en-US" w:eastAsia="zh-CN"/>
        </w:rPr>
        <w:t>（一）现场监督检查</w:t>
      </w:r>
    </w:p>
    <w:p>
      <w:pPr>
        <w:pageBreakBefore w:val="0"/>
        <w:numPr>
          <w:ilvl w:val="0"/>
          <w:numId w:val="0"/>
        </w:numPr>
        <w:kinsoku/>
        <w:wordWrap/>
        <w:overflowPunct/>
        <w:topLinePunct w:val="0"/>
        <w:autoSpaceDE/>
        <w:autoSpaceDN/>
        <w:bidi w:val="0"/>
        <w:adjustRightInd/>
        <w:spacing w:line="480" w:lineRule="exact"/>
        <w:ind w:left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1、集中检查（2次）</w:t>
      </w:r>
    </w:p>
    <w:p>
      <w:pPr>
        <w:pageBreakBefore w:val="0"/>
        <w:numPr>
          <w:ilvl w:val="0"/>
          <w:numId w:val="0"/>
        </w:numPr>
        <w:kinsoku/>
        <w:wordWrap/>
        <w:overflowPunct/>
        <w:topLinePunct w:val="0"/>
        <w:autoSpaceDE/>
        <w:autoSpaceDN/>
        <w:bidi w:val="0"/>
        <w:adjustRightInd/>
        <w:spacing w:line="480" w:lineRule="exact"/>
        <w:ind w:leftChars="0"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第一次：汛前安全检查</w:t>
      </w:r>
    </w:p>
    <w:p>
      <w:pPr>
        <w:pageBreakBefore w:val="0"/>
        <w:numPr>
          <w:ilvl w:val="0"/>
          <w:numId w:val="0"/>
        </w:numPr>
        <w:kinsoku/>
        <w:wordWrap/>
        <w:overflowPunct/>
        <w:topLinePunct w:val="0"/>
        <w:autoSpaceDE/>
        <w:autoSpaceDN/>
        <w:bidi w:val="0"/>
        <w:adjustRightInd/>
        <w:spacing w:line="480" w:lineRule="exact"/>
        <w:ind w:leftChars="0"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2022年3月下旬至4月上旬，完成对辖区内的部分在建工程、水库、堤防、农村水电站、农村供水生产经营单位、水质实验室进行安全监督检查。</w:t>
      </w:r>
    </w:p>
    <w:p>
      <w:pPr>
        <w:pageBreakBefore w:val="0"/>
        <w:numPr>
          <w:ilvl w:val="0"/>
          <w:numId w:val="0"/>
        </w:numPr>
        <w:kinsoku/>
        <w:wordWrap/>
        <w:overflowPunct/>
        <w:topLinePunct w:val="0"/>
        <w:autoSpaceDE/>
        <w:autoSpaceDN/>
        <w:bidi w:val="0"/>
        <w:adjustRightInd/>
        <w:spacing w:line="480" w:lineRule="exact"/>
        <w:ind w:left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（1）在建工程：3处以内（视工程施工情况定，如无在建工程，就不检查）；</w:t>
      </w:r>
    </w:p>
    <w:p>
      <w:pPr>
        <w:pageBreakBefore w:val="0"/>
        <w:numPr>
          <w:ilvl w:val="0"/>
          <w:numId w:val="0"/>
        </w:numPr>
        <w:kinsoku/>
        <w:wordWrap/>
        <w:overflowPunct/>
        <w:topLinePunct w:val="0"/>
        <w:autoSpaceDE/>
        <w:autoSpaceDN/>
        <w:bidi w:val="0"/>
        <w:adjustRightInd/>
        <w:spacing w:line="48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水库（20座）：灶鸡洞水库、小桥水库、和平水库、大田水库、柳家沟水库、甘枝湾水库、太平水库、赵堡水库、团结水库、五四水库、胜天水库、工农水库、郭家沟水库、菜籽沟水库、五塘湾水库、人和水库、元塘水库、金子湖水库、甘家桥水库、丰子岩水库</w:t>
      </w:r>
    </w:p>
    <w:p>
      <w:pPr>
        <w:pageBreakBefore w:val="0"/>
        <w:numPr>
          <w:ilvl w:val="0"/>
          <w:numId w:val="0"/>
        </w:numPr>
        <w:kinsoku/>
        <w:wordWrap/>
        <w:overflowPunct/>
        <w:topLinePunct w:val="0"/>
        <w:autoSpaceDE/>
        <w:autoSpaceDN/>
        <w:bidi w:val="0"/>
        <w:adjustRightInd/>
        <w:spacing w:line="480" w:lineRule="exact"/>
        <w:ind w:left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lang w:eastAsia="zh-CN"/>
        </w:rPr>
        <w:t>）堤防：</w:t>
      </w:r>
      <w:r>
        <w:rPr>
          <w:rFonts w:hint="eastAsia" w:ascii="方正仿宋_GBK" w:hAnsi="方正仿宋_GBK" w:eastAsia="方正仿宋_GBK" w:cs="方正仿宋_GBK"/>
          <w:color w:val="auto"/>
          <w:sz w:val="28"/>
          <w:szCs w:val="28"/>
          <w:lang w:val="en-US" w:eastAsia="zh-CN"/>
        </w:rPr>
        <w:t>北碚城区堤防（2.2公里）、柳荫堤防；</w:t>
      </w:r>
    </w:p>
    <w:p>
      <w:pPr>
        <w:pStyle w:val="2"/>
        <w:pageBreakBefore w:val="0"/>
        <w:numPr>
          <w:ilvl w:val="0"/>
          <w:numId w:val="0"/>
        </w:numPr>
        <w:kinsoku/>
        <w:wordWrap/>
        <w:overflowPunct/>
        <w:topLinePunct w:val="0"/>
        <w:autoSpaceDE/>
        <w:autoSpaceDN/>
        <w:bidi w:val="0"/>
        <w:adjustRightInd/>
        <w:spacing w:line="480" w:lineRule="exact"/>
        <w:ind w:left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（4）山洪灾害点（10处）：</w:t>
      </w:r>
      <w:r>
        <w:rPr>
          <w:rFonts w:hint="eastAsia" w:ascii="方正仿宋_GBK" w:hAnsi="方正仿宋_GBK" w:eastAsia="方正仿宋_GBK" w:cs="方正仿宋_GBK"/>
          <w:color w:val="auto"/>
          <w:sz w:val="28"/>
          <w:szCs w:val="28"/>
        </w:rPr>
        <w:t>金刀峡镇石寨村塔桥组</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金刀峡镇响水村响</w:t>
      </w:r>
    </w:p>
    <w:p>
      <w:pPr>
        <w:pStyle w:val="2"/>
        <w:pageBreakBefore w:val="0"/>
        <w:numPr>
          <w:ilvl w:val="0"/>
          <w:numId w:val="0"/>
        </w:numPr>
        <w:kinsoku/>
        <w:wordWrap/>
        <w:overflowPunct/>
        <w:topLinePunct w:val="0"/>
        <w:autoSpaceDE/>
        <w:autoSpaceDN/>
        <w:bidi w:val="0"/>
        <w:adjustRightInd/>
        <w:spacing w:line="480" w:lineRule="exac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水组</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金刀峡镇胜天湖村上茶蜡坝社</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澄江镇转龙村黄家沟</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澄江镇上马台村铁厂沟社</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柳荫镇柳荫村柳荫2社</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柳荫镇柳荫村柳荫6社</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柳荫镇明通村龙翔一层桥</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柳荫镇明通村仙女芭蕉头</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柳荫镇西河村小桥3社</w:t>
      </w:r>
    </w:p>
    <w:p>
      <w:pPr>
        <w:pageBreakBefore w:val="0"/>
        <w:numPr>
          <w:ilvl w:val="0"/>
          <w:numId w:val="0"/>
        </w:numPr>
        <w:kinsoku/>
        <w:wordWrap/>
        <w:overflowPunct/>
        <w:topLinePunct w:val="0"/>
        <w:autoSpaceDE/>
        <w:autoSpaceDN/>
        <w:bidi w:val="0"/>
        <w:adjustRightInd/>
        <w:spacing w:line="480" w:lineRule="exact"/>
        <w:ind w:left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第二次：汛中安全检查</w:t>
      </w:r>
    </w:p>
    <w:p>
      <w:pPr>
        <w:pageBreakBefore w:val="0"/>
        <w:numPr>
          <w:ilvl w:val="0"/>
          <w:numId w:val="0"/>
        </w:numPr>
        <w:kinsoku/>
        <w:wordWrap/>
        <w:overflowPunct/>
        <w:topLinePunct w:val="0"/>
        <w:autoSpaceDE/>
        <w:autoSpaceDN/>
        <w:bidi w:val="0"/>
        <w:adjustRightInd/>
        <w:spacing w:line="480" w:lineRule="exact"/>
        <w:ind w:firstLine="280" w:firstLineChars="1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（1）水库物业公司；</w:t>
      </w:r>
    </w:p>
    <w:p>
      <w:pPr>
        <w:pageBreakBefore w:val="0"/>
        <w:numPr>
          <w:ilvl w:val="0"/>
          <w:numId w:val="0"/>
        </w:numPr>
        <w:kinsoku/>
        <w:wordWrap/>
        <w:overflowPunct/>
        <w:topLinePunct w:val="0"/>
        <w:autoSpaceDE/>
        <w:autoSpaceDN/>
        <w:bidi w:val="0"/>
        <w:adjustRightInd/>
        <w:spacing w:line="480" w:lineRule="exact"/>
        <w:ind w:firstLine="280" w:firstLineChars="1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农村供水生产经营单位：碚江水务有限公司、江东水厂、澄江水厂、槽上水厂、缙云山供水工程、澄江镇五一村饮水安全工程、西山坪饮水安全工程、金刀峡偏岩水厂、柳荫镇合兴永兴片区饮水安全工程、天府镇中心村供水工程、静观镇万全村饮水工程等11家；</w:t>
      </w:r>
    </w:p>
    <w:p>
      <w:pPr>
        <w:pageBreakBefore w:val="0"/>
        <w:numPr>
          <w:ilvl w:val="0"/>
          <w:numId w:val="0"/>
        </w:numPr>
        <w:kinsoku/>
        <w:wordWrap/>
        <w:overflowPunct/>
        <w:topLinePunct w:val="0"/>
        <w:autoSpaceDE/>
        <w:autoSpaceDN/>
        <w:bidi w:val="0"/>
        <w:adjustRightInd/>
        <w:spacing w:line="480" w:lineRule="exact"/>
        <w:ind w:firstLine="280" w:firstLineChars="1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（3）农村小水电：重庆市北碚区高滩水力发电有限公司、</w:t>
      </w:r>
      <w:r>
        <w:rPr>
          <w:rFonts w:hint="eastAsia" w:ascii="方正仿宋_GBK" w:hAnsi="方正仿宋_GBK" w:eastAsia="方正仿宋_GBK" w:cs="方正仿宋_GBK"/>
          <w:color w:val="auto"/>
          <w:sz w:val="28"/>
          <w:szCs w:val="28"/>
        </w:rPr>
        <w:t>胜天电站、灶鸡洞电站、</w:t>
      </w:r>
      <w:r>
        <w:rPr>
          <w:rFonts w:hint="eastAsia" w:ascii="方正仿宋_GBK" w:hAnsi="方正仿宋_GBK" w:eastAsia="方正仿宋_GBK" w:cs="方正仿宋_GBK"/>
          <w:color w:val="auto"/>
          <w:sz w:val="28"/>
          <w:szCs w:val="28"/>
          <w:lang w:val="en-US" w:eastAsia="zh-CN"/>
        </w:rPr>
        <w:t>歇马电站</w:t>
      </w:r>
      <w:r>
        <w:rPr>
          <w:rFonts w:hint="eastAsia" w:ascii="方正仿宋_GBK" w:hAnsi="方正仿宋_GBK" w:eastAsia="方正仿宋_GBK" w:cs="方正仿宋_GBK"/>
          <w:color w:val="auto"/>
          <w:sz w:val="28"/>
          <w:szCs w:val="28"/>
        </w:rPr>
        <w:t>、龙翔电站</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高滩电站</w:t>
      </w:r>
      <w:r>
        <w:rPr>
          <w:rFonts w:hint="eastAsia" w:ascii="方正仿宋_GBK" w:hAnsi="方正仿宋_GBK" w:eastAsia="方正仿宋_GBK" w:cs="方正仿宋_GBK"/>
          <w:color w:val="auto"/>
          <w:sz w:val="28"/>
          <w:szCs w:val="28"/>
          <w:lang w:eastAsia="zh-CN"/>
        </w:rPr>
        <w:t>；</w:t>
      </w:r>
    </w:p>
    <w:p>
      <w:pPr>
        <w:pageBreakBefore w:val="0"/>
        <w:numPr>
          <w:ilvl w:val="0"/>
          <w:numId w:val="0"/>
        </w:numPr>
        <w:kinsoku/>
        <w:wordWrap/>
        <w:overflowPunct/>
        <w:topLinePunct w:val="0"/>
        <w:autoSpaceDE/>
        <w:autoSpaceDN/>
        <w:bidi w:val="0"/>
        <w:adjustRightInd/>
        <w:spacing w:line="480" w:lineRule="exact"/>
        <w:ind w:firstLine="280" w:firstLineChars="1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在建工程：5处以内，根据实际工程情况确定</w:t>
      </w:r>
    </w:p>
    <w:p>
      <w:pPr>
        <w:pageBreakBefore w:val="0"/>
        <w:numPr>
          <w:ilvl w:val="0"/>
          <w:numId w:val="0"/>
        </w:numPr>
        <w:kinsoku/>
        <w:wordWrap/>
        <w:overflowPunct/>
        <w:topLinePunct w:val="0"/>
        <w:autoSpaceDE/>
        <w:autoSpaceDN/>
        <w:bidi w:val="0"/>
        <w:adjustRightInd/>
        <w:spacing w:line="480" w:lineRule="exact"/>
        <w:ind w:firstLine="280" w:firstLineChars="1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（5）水质实验室；</w:t>
      </w:r>
    </w:p>
    <w:p>
      <w:pPr>
        <w:pageBreakBefore w:val="0"/>
        <w:numPr>
          <w:ilvl w:val="0"/>
          <w:numId w:val="0"/>
        </w:numPr>
        <w:kinsoku/>
        <w:wordWrap/>
        <w:overflowPunct/>
        <w:topLinePunct w:val="0"/>
        <w:autoSpaceDE/>
        <w:autoSpaceDN/>
        <w:bidi w:val="0"/>
        <w:adjustRightInd/>
        <w:spacing w:line="480" w:lineRule="exact"/>
        <w:ind w:firstLine="280" w:firstLineChars="1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（6）复兴水文站、歇马水文站。</w:t>
      </w:r>
    </w:p>
    <w:p>
      <w:pPr>
        <w:pStyle w:val="2"/>
        <w:pageBreakBefore w:val="0"/>
        <w:kinsoku/>
        <w:wordWrap/>
        <w:overflowPunct/>
        <w:topLinePunct w:val="0"/>
        <w:autoSpaceDE/>
        <w:autoSpaceDN/>
        <w:bidi w:val="0"/>
        <w:adjustRightInd/>
        <w:spacing w:line="480" w:lineRule="exac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  （7）水库（15座）：三八水库、双埝水库、石工塘水库、海底沟水库、七一水库、龙滩子水库、回龙桥水库、高坪水库、黛湖水库、人民水库、虎跳溪水库、美丽湖水库、金龙湖（中安翡翠湖）水库、东湖水库、西湖水库、</w:t>
      </w:r>
    </w:p>
    <w:p>
      <w:pPr>
        <w:pageBreakBefore w:val="0"/>
        <w:numPr>
          <w:ilvl w:val="0"/>
          <w:numId w:val="2"/>
        </w:numPr>
        <w:kinsoku/>
        <w:wordWrap/>
        <w:overflowPunct/>
        <w:topLinePunct w:val="0"/>
        <w:autoSpaceDE/>
        <w:autoSpaceDN/>
        <w:bidi w:val="0"/>
        <w:adjustRightInd/>
        <w:spacing w:line="48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分散检查</w:t>
      </w:r>
    </w:p>
    <w:p>
      <w:pPr>
        <w:pageBreakBefore w:val="0"/>
        <w:numPr>
          <w:ilvl w:val="0"/>
          <w:numId w:val="0"/>
        </w:numPr>
        <w:kinsoku/>
        <w:wordWrap/>
        <w:overflowPunct/>
        <w:topLinePunct w:val="0"/>
        <w:autoSpaceDE/>
        <w:autoSpaceDN/>
        <w:bidi w:val="0"/>
        <w:adjustRightInd/>
        <w:spacing w:line="48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5月、6月、7月、9月、10月、11月、12月，根据我局要求（本公告资质内）指派一名安全专家指导并参加我局的安全执法监督检查，每月参与检查时间为三个工作日以内，差旅及食宿自负。检查内容以《2022年度水利行业安全生产与水旱灾害防御监督检查计划》（北碚水【2022】11号）为准。</w:t>
      </w:r>
    </w:p>
    <w:p>
      <w:pPr>
        <w:pageBreakBefore w:val="0"/>
        <w:numPr>
          <w:ilvl w:val="0"/>
          <w:numId w:val="0"/>
        </w:numPr>
        <w:kinsoku/>
        <w:wordWrap/>
        <w:overflowPunct/>
        <w:topLinePunct w:val="0"/>
        <w:autoSpaceDE/>
        <w:autoSpaceDN/>
        <w:bidi w:val="0"/>
        <w:adjustRightInd/>
        <w:spacing w:line="480" w:lineRule="exact"/>
        <w:ind w:leftChars="200"/>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（二）安全及质量监督培训（时间1天）</w:t>
      </w:r>
    </w:p>
    <w:p>
      <w:pPr>
        <w:pageBreakBefore w:val="0"/>
        <w:numPr>
          <w:ilvl w:val="0"/>
          <w:numId w:val="3"/>
        </w:numPr>
        <w:kinsoku/>
        <w:wordWrap/>
        <w:overflowPunct/>
        <w:topLinePunct w:val="0"/>
        <w:autoSpaceDE/>
        <w:autoSpaceDN/>
        <w:bidi w:val="0"/>
        <w:adjustRightInd/>
        <w:spacing w:line="48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在建工程质量安全监督：以实际在建工程为案例，以案说法，重点阐释在建工程的检查要点、关键环节和容易忽视的细节，以及水利工程质量监督手续的办理、质量监督要点、典型案例分析。</w:t>
      </w:r>
    </w:p>
    <w:p>
      <w:pPr>
        <w:pageBreakBefore w:val="0"/>
        <w:numPr>
          <w:ilvl w:val="0"/>
          <w:numId w:val="3"/>
        </w:numPr>
        <w:kinsoku/>
        <w:wordWrap/>
        <w:overflowPunct/>
        <w:topLinePunct w:val="0"/>
        <w:autoSpaceDE/>
        <w:autoSpaceDN/>
        <w:bidi w:val="0"/>
        <w:adjustRightInd/>
        <w:spacing w:line="480" w:lineRule="exact"/>
        <w:ind w:firstLine="560" w:firstLineChars="200"/>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color w:val="auto"/>
          <w:sz w:val="28"/>
          <w:szCs w:val="28"/>
          <w:lang w:val="en-US" w:eastAsia="zh-CN"/>
        </w:rPr>
        <w:t>已成水利工程安全监督：以已成水库、堤防工程、饮水工程、小水电、水文站、水质实验室等为板块，讲解日常安全监督的要点、难点和容易忽视的细节。</w:t>
      </w:r>
    </w:p>
    <w:p>
      <w:pPr>
        <w:pStyle w:val="2"/>
        <w:rPr>
          <w:rFonts w:hint="default"/>
          <w:color w:val="auto"/>
          <w:lang w:val="en-US"/>
        </w:rPr>
      </w:pPr>
      <w:r>
        <w:rPr>
          <w:rFonts w:hint="eastAsia" w:ascii="方正仿宋_GBK" w:hAnsi="方正仿宋_GBK" w:eastAsia="方正仿宋_GBK" w:cs="方正仿宋_GBK"/>
          <w:color w:val="auto"/>
          <w:sz w:val="28"/>
          <w:szCs w:val="28"/>
          <w:lang w:val="en-US" w:eastAsia="zh-CN"/>
        </w:rPr>
        <w:t xml:space="preserve">    参与培训人员50人以内，会务费及餐饮费由供应商提供。</w:t>
      </w:r>
    </w:p>
    <w:p>
      <w:pPr>
        <w:pageBreakBefore w:val="0"/>
        <w:numPr>
          <w:ilvl w:val="0"/>
          <w:numId w:val="0"/>
        </w:numPr>
        <w:kinsoku/>
        <w:wordWrap/>
        <w:overflowPunct/>
        <w:topLinePunct w:val="0"/>
        <w:autoSpaceDE/>
        <w:autoSpaceDN/>
        <w:bidi w:val="0"/>
        <w:adjustRightInd/>
        <w:spacing w:line="480" w:lineRule="exact"/>
        <w:ind w:firstLine="562" w:firstLineChars="200"/>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技术服务</w:t>
      </w:r>
      <w:r>
        <w:rPr>
          <w:rFonts w:hint="eastAsia" w:ascii="方正仿宋_GBK" w:hAnsi="方正仿宋_GBK" w:eastAsia="方正仿宋_GBK" w:cs="方正仿宋_GBK"/>
          <w:b/>
          <w:bCs/>
          <w:color w:val="auto"/>
          <w:sz w:val="28"/>
          <w:szCs w:val="28"/>
          <w:lang w:val="en-US" w:eastAsia="zh-CN"/>
        </w:rPr>
        <w:t>质量</w:t>
      </w:r>
      <w:r>
        <w:rPr>
          <w:rFonts w:hint="eastAsia" w:ascii="方正仿宋_GBK" w:hAnsi="方正仿宋_GBK" w:eastAsia="方正仿宋_GBK" w:cs="方正仿宋_GBK"/>
          <w:b/>
          <w:bCs/>
          <w:color w:val="auto"/>
          <w:sz w:val="28"/>
          <w:szCs w:val="28"/>
        </w:rPr>
        <w:t>要求：</w:t>
      </w:r>
    </w:p>
    <w:p>
      <w:pPr>
        <w:pageBreakBefore w:val="0"/>
        <w:numPr>
          <w:ilvl w:val="0"/>
          <w:numId w:val="0"/>
        </w:numPr>
        <w:kinsoku/>
        <w:wordWrap/>
        <w:overflowPunct/>
        <w:topLinePunct w:val="0"/>
        <w:autoSpaceDE/>
        <w:autoSpaceDN/>
        <w:bidi w:val="0"/>
        <w:adjustRightInd/>
        <w:spacing w:line="480" w:lineRule="exact"/>
        <w:ind w:firstLine="562" w:firstLineChars="200"/>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（一）现场检查质量要求</w:t>
      </w:r>
    </w:p>
    <w:p>
      <w:pPr>
        <w:pageBreakBefore w:val="0"/>
        <w:numPr>
          <w:ilvl w:val="0"/>
          <w:numId w:val="0"/>
        </w:numPr>
        <w:kinsoku/>
        <w:wordWrap/>
        <w:overflowPunct/>
        <w:topLinePunct w:val="0"/>
        <w:autoSpaceDE/>
        <w:autoSpaceDN/>
        <w:bidi w:val="0"/>
        <w:adjustRightInd/>
        <w:spacing w:line="48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1、现场集中检查时，按照规范表格填写安全检查记录表等执法文书，并整理成册；</w:t>
      </w:r>
    </w:p>
    <w:p>
      <w:pPr>
        <w:pageBreakBefore w:val="0"/>
        <w:numPr>
          <w:ilvl w:val="0"/>
          <w:numId w:val="0"/>
        </w:numPr>
        <w:kinsoku/>
        <w:wordWrap/>
        <w:overflowPunct/>
        <w:topLinePunct w:val="0"/>
        <w:autoSpaceDE/>
        <w:autoSpaceDN/>
        <w:bidi w:val="0"/>
        <w:adjustRightInd/>
        <w:spacing w:line="48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2、依据国家安全生产法律、法规，按照《</w:t>
      </w:r>
      <w:r>
        <w:rPr>
          <w:rFonts w:hint="eastAsia" w:ascii="方正仿宋_GBK" w:hAnsi="方正仿宋_GBK" w:eastAsia="方正仿宋_GBK" w:cs="方正仿宋_GBK"/>
          <w:color w:val="auto"/>
          <w:sz w:val="28"/>
          <w:szCs w:val="28"/>
          <w:lang w:eastAsia="zh-CN"/>
        </w:rPr>
        <w:t>水利工程建设安全生产管理监督检查主要内容</w:t>
      </w:r>
      <w:r>
        <w:rPr>
          <w:rFonts w:hint="eastAsia" w:ascii="方正仿宋_GBK" w:hAnsi="方正仿宋_GBK" w:eastAsia="方正仿宋_GBK" w:cs="方正仿宋_GBK"/>
          <w:color w:val="auto"/>
          <w:sz w:val="28"/>
          <w:szCs w:val="28"/>
          <w:lang w:val="en-US" w:eastAsia="zh-CN"/>
        </w:rPr>
        <w:t>清单》进行检查；</w:t>
      </w:r>
    </w:p>
    <w:p>
      <w:pPr>
        <w:pageBreakBefore w:val="0"/>
        <w:numPr>
          <w:ilvl w:val="0"/>
          <w:numId w:val="0"/>
        </w:numPr>
        <w:kinsoku/>
        <w:wordWrap/>
        <w:overflowPunct/>
        <w:topLinePunct w:val="0"/>
        <w:autoSpaceDE/>
        <w:autoSpaceDN/>
        <w:bidi w:val="0"/>
        <w:adjustRightInd/>
        <w:spacing w:line="480" w:lineRule="exact"/>
        <w:ind w:leftChars="0"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3、对两次集中检查结果形成一份评估报告，提出水利行业安全监管建议。</w:t>
      </w:r>
    </w:p>
    <w:p>
      <w:pPr>
        <w:pStyle w:val="2"/>
        <w:pageBreakBefore w:val="0"/>
        <w:kinsoku/>
        <w:wordWrap/>
        <w:overflowPunct/>
        <w:topLinePunct w:val="0"/>
        <w:autoSpaceDE/>
        <w:autoSpaceDN/>
        <w:bidi w:val="0"/>
        <w:adjustRightInd/>
        <w:spacing w:line="480" w:lineRule="exact"/>
        <w:ind w:firstLine="640"/>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（二）质量安全监督培训质量要求</w:t>
      </w:r>
    </w:p>
    <w:p>
      <w:pPr>
        <w:pageBreakBefore w:val="0"/>
        <w:kinsoku/>
        <w:wordWrap/>
        <w:overflowPunct/>
        <w:topLinePunct w:val="0"/>
        <w:autoSpaceDE/>
        <w:autoSpaceDN/>
        <w:bidi w:val="0"/>
        <w:adjustRightInd/>
        <w:spacing w:line="480" w:lineRule="exact"/>
        <w:ind w:firstLine="64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1、授课教师不少于2名，每名教师授课时间不少于120分钟；</w:t>
      </w:r>
    </w:p>
    <w:p>
      <w:pPr>
        <w:pageBreakBefore w:val="0"/>
        <w:kinsoku/>
        <w:wordWrap/>
        <w:overflowPunct/>
        <w:topLinePunct w:val="0"/>
        <w:autoSpaceDE/>
        <w:autoSpaceDN/>
        <w:bidi w:val="0"/>
        <w:adjustRightInd/>
        <w:spacing w:line="480" w:lineRule="exact"/>
        <w:ind w:firstLine="640"/>
        <w:textAlignment w:val="auto"/>
        <w:rPr>
          <w:rFonts w:hint="eastAsia" w:ascii="方正楷体_GBK" w:hAnsi="方正楷体_GBK" w:eastAsia="方正楷体_GBK" w:cs="方正楷体_GBK"/>
          <w:b/>
          <w:bCs/>
          <w:color w:val="auto"/>
          <w:sz w:val="28"/>
          <w:szCs w:val="28"/>
        </w:rPr>
      </w:pPr>
      <w:r>
        <w:rPr>
          <w:rFonts w:hint="eastAsia" w:ascii="方正仿宋_GBK" w:hAnsi="方正仿宋_GBK" w:eastAsia="方正仿宋_GBK" w:cs="方正仿宋_GBK"/>
          <w:color w:val="auto"/>
          <w:sz w:val="28"/>
          <w:szCs w:val="28"/>
          <w:lang w:val="en-US" w:eastAsia="zh-CN"/>
        </w:rPr>
        <w:t>2、授课教师经验丰富、讲解生动活泼通俗易懂并针对性强；</w:t>
      </w:r>
    </w:p>
    <w:p>
      <w:pPr>
        <w:pageBreakBefore w:val="0"/>
        <w:kinsoku/>
        <w:wordWrap/>
        <w:overflowPunct/>
        <w:topLinePunct w:val="0"/>
        <w:autoSpaceDE/>
        <w:autoSpaceDN/>
        <w:bidi w:val="0"/>
        <w:adjustRightInd/>
        <w:spacing w:line="480" w:lineRule="exact"/>
        <w:ind w:firstLine="562" w:firstLineChars="200"/>
        <w:textAlignment w:val="auto"/>
        <w:rPr>
          <w:rFonts w:hint="eastAsia" w:ascii="方正仿宋_GBK" w:hAnsi="方正仿宋_GBK" w:eastAsia="方正仿宋_GBK" w:cs="方正仿宋_GBK"/>
          <w:color w:val="auto"/>
          <w:sz w:val="28"/>
          <w:szCs w:val="28"/>
        </w:rPr>
      </w:pPr>
      <w:r>
        <w:rPr>
          <w:rFonts w:hint="eastAsia" w:ascii="方正楷体_GBK" w:hAnsi="方正楷体_GBK" w:eastAsia="方正楷体_GBK" w:cs="方正楷体_GBK"/>
          <w:b/>
          <w:bCs/>
          <w:color w:val="auto"/>
          <w:sz w:val="28"/>
          <w:szCs w:val="28"/>
        </w:rPr>
        <w:t>技术服务方式：</w:t>
      </w:r>
      <w:r>
        <w:rPr>
          <w:rFonts w:hint="eastAsia" w:ascii="方正仿宋_GBK" w:hAnsi="方正仿宋_GBK" w:eastAsia="方正仿宋_GBK" w:cs="方正仿宋_GBK"/>
          <w:color w:val="auto"/>
          <w:sz w:val="28"/>
          <w:szCs w:val="28"/>
        </w:rPr>
        <w:t>局</w:t>
      </w:r>
      <w:r>
        <w:rPr>
          <w:rFonts w:hint="eastAsia" w:ascii="方正仿宋_GBK" w:hAnsi="方正仿宋_GBK" w:eastAsia="方正仿宋_GBK" w:cs="方正仿宋_GBK"/>
          <w:color w:val="auto"/>
          <w:sz w:val="28"/>
          <w:szCs w:val="28"/>
          <w:lang w:eastAsia="zh-CN"/>
        </w:rPr>
        <w:t>水利工程安全监督站</w:t>
      </w:r>
      <w:r>
        <w:rPr>
          <w:rFonts w:hint="eastAsia" w:ascii="方正仿宋_GBK" w:hAnsi="方正仿宋_GBK" w:eastAsia="方正仿宋_GBK" w:cs="方正仿宋_GBK"/>
          <w:color w:val="auto"/>
          <w:sz w:val="28"/>
          <w:szCs w:val="28"/>
        </w:rPr>
        <w:t>协同</w:t>
      </w:r>
      <w:r>
        <w:rPr>
          <w:rFonts w:hint="eastAsia" w:ascii="方正仿宋_GBK" w:hAnsi="方正仿宋_GBK" w:eastAsia="方正仿宋_GBK" w:cs="方正仿宋_GBK"/>
          <w:color w:val="auto"/>
          <w:sz w:val="28"/>
          <w:szCs w:val="28"/>
          <w:lang w:eastAsia="zh-CN"/>
        </w:rPr>
        <w:t>供应商</w:t>
      </w:r>
      <w:r>
        <w:rPr>
          <w:rFonts w:hint="eastAsia" w:ascii="方正仿宋_GBK" w:hAnsi="方正仿宋_GBK" w:eastAsia="方正仿宋_GBK" w:cs="方正仿宋_GBK"/>
          <w:color w:val="auto"/>
          <w:sz w:val="28"/>
          <w:szCs w:val="28"/>
        </w:rPr>
        <w:t>对全区的水利</w:t>
      </w:r>
      <w:r>
        <w:rPr>
          <w:rFonts w:hint="eastAsia" w:ascii="方正仿宋_GBK" w:hAnsi="方正仿宋_GBK" w:eastAsia="方正仿宋_GBK" w:cs="方正仿宋_GBK"/>
          <w:color w:val="auto"/>
          <w:sz w:val="28"/>
          <w:szCs w:val="28"/>
          <w:lang w:eastAsia="zh-CN"/>
        </w:rPr>
        <w:t>工程</w:t>
      </w:r>
      <w:r>
        <w:rPr>
          <w:rFonts w:hint="eastAsia" w:ascii="方正仿宋_GBK" w:hAnsi="方正仿宋_GBK" w:eastAsia="方正仿宋_GBK" w:cs="方正仿宋_GBK"/>
          <w:color w:val="auto"/>
          <w:sz w:val="28"/>
          <w:szCs w:val="28"/>
        </w:rPr>
        <w:t>安全进行督查。</w:t>
      </w:r>
    </w:p>
    <w:p>
      <w:pPr>
        <w:pageBreakBefore w:val="0"/>
        <w:kinsoku/>
        <w:wordWrap/>
        <w:overflowPunct/>
        <w:topLinePunct w:val="0"/>
        <w:autoSpaceDE/>
        <w:autoSpaceDN/>
        <w:bidi w:val="0"/>
        <w:adjustRightInd/>
        <w:spacing w:line="480" w:lineRule="exact"/>
        <w:ind w:firstLine="562" w:firstLineChars="200"/>
        <w:textAlignment w:val="auto"/>
        <w:rPr>
          <w:rFonts w:hint="eastAsia" w:ascii="方正仿宋_GBK" w:hAnsi="方正仿宋_GBK" w:eastAsia="方正仿宋_GBK" w:cs="方正仿宋_GBK"/>
          <w:color w:val="auto"/>
          <w:sz w:val="28"/>
          <w:szCs w:val="28"/>
        </w:rPr>
      </w:pPr>
      <w:r>
        <w:rPr>
          <w:rFonts w:hint="eastAsia" w:ascii="方正楷体_GBK" w:hAnsi="方正楷体_GBK" w:eastAsia="方正楷体_GBK" w:cs="方正楷体_GBK"/>
          <w:b/>
          <w:bCs/>
          <w:color w:val="auto"/>
          <w:sz w:val="28"/>
          <w:szCs w:val="28"/>
        </w:rPr>
        <w:t>技术服务目标：</w:t>
      </w:r>
      <w:r>
        <w:rPr>
          <w:rFonts w:hint="eastAsia" w:ascii="方正仿宋_GBK" w:hAnsi="方正仿宋_GBK" w:eastAsia="方正仿宋_GBK" w:cs="方正仿宋_GBK"/>
          <w:color w:val="auto"/>
          <w:sz w:val="28"/>
          <w:szCs w:val="28"/>
        </w:rPr>
        <w:t>按照甲方要求结合国家的相关法律、法规、规范、强制标准等对</w:t>
      </w:r>
      <w:r>
        <w:rPr>
          <w:rFonts w:hint="eastAsia" w:ascii="方正仿宋_GBK" w:hAnsi="方正仿宋_GBK" w:eastAsia="方正仿宋_GBK" w:cs="方正仿宋_GBK"/>
          <w:color w:val="auto"/>
          <w:sz w:val="28"/>
          <w:szCs w:val="28"/>
          <w:lang w:eastAsia="zh-CN"/>
        </w:rPr>
        <w:t>采购</w:t>
      </w:r>
      <w:r>
        <w:rPr>
          <w:rFonts w:hint="eastAsia" w:ascii="方正仿宋_GBK" w:hAnsi="方正仿宋_GBK" w:eastAsia="方正仿宋_GBK" w:cs="方正仿宋_GBK"/>
          <w:color w:val="auto"/>
          <w:sz w:val="28"/>
          <w:szCs w:val="28"/>
        </w:rPr>
        <w:t xml:space="preserve">方辖区内的水利工程进行监督检查，避免发生水利安全生产责任事故。 </w:t>
      </w:r>
    </w:p>
    <w:p>
      <w:pPr>
        <w:pageBreakBefore w:val="0"/>
        <w:numPr>
          <w:ilvl w:val="0"/>
          <w:numId w:val="1"/>
        </w:numPr>
        <w:kinsoku/>
        <w:wordWrap/>
        <w:overflowPunct/>
        <w:topLinePunct w:val="0"/>
        <w:autoSpaceDE/>
        <w:autoSpaceDN/>
        <w:bidi w:val="0"/>
        <w:adjustRightInd/>
        <w:spacing w:line="480" w:lineRule="exact"/>
        <w:ind w:left="0" w:leftChars="0" w:firstLine="560" w:firstLineChars="200"/>
        <w:textAlignment w:val="auto"/>
        <w:rPr>
          <w:rFonts w:hint="eastAsia" w:ascii="方正黑体_GBK" w:hAnsi="方正黑体_GBK" w:eastAsia="方正黑体_GBK" w:cs="方正黑体_GBK"/>
          <w:color w:val="auto"/>
          <w:sz w:val="28"/>
          <w:szCs w:val="28"/>
        </w:rPr>
      </w:pPr>
      <w:r>
        <w:rPr>
          <w:rFonts w:hint="eastAsia" w:ascii="方正黑体_GBK" w:hAnsi="方正黑体_GBK" w:eastAsia="方正黑体_GBK" w:cs="方正黑体_GBK"/>
          <w:color w:val="auto"/>
          <w:sz w:val="28"/>
          <w:szCs w:val="28"/>
        </w:rPr>
        <w:t>最高限价：</w:t>
      </w:r>
      <w:r>
        <w:rPr>
          <w:rFonts w:hint="eastAsia" w:ascii="方正黑体_GBK" w:hAnsi="方正黑体_GBK" w:eastAsia="方正黑体_GBK" w:cs="方正黑体_GBK"/>
          <w:color w:val="auto"/>
          <w:sz w:val="28"/>
          <w:szCs w:val="28"/>
          <w:lang w:val="en-US" w:eastAsia="zh-CN"/>
        </w:rPr>
        <w:t>15万元</w:t>
      </w:r>
    </w:p>
    <w:p>
      <w:pPr>
        <w:pageBreakBefore w:val="0"/>
        <w:numPr>
          <w:ilvl w:val="0"/>
          <w:numId w:val="1"/>
        </w:numPr>
        <w:kinsoku/>
        <w:wordWrap/>
        <w:overflowPunct/>
        <w:topLinePunct w:val="0"/>
        <w:autoSpaceDE/>
        <w:autoSpaceDN/>
        <w:bidi w:val="0"/>
        <w:adjustRightInd/>
        <w:spacing w:line="480" w:lineRule="exact"/>
        <w:ind w:left="0" w:leftChars="0" w:firstLine="560" w:firstLineChars="200"/>
        <w:textAlignment w:val="auto"/>
        <w:rPr>
          <w:rFonts w:hint="eastAsia" w:ascii="方正黑体_GBK" w:hAnsi="方正黑体_GBK" w:eastAsia="方正黑体_GBK" w:cs="方正黑体_GBK"/>
          <w:color w:val="auto"/>
          <w:sz w:val="28"/>
          <w:szCs w:val="28"/>
        </w:rPr>
      </w:pPr>
      <w:r>
        <w:rPr>
          <w:rFonts w:hint="eastAsia" w:ascii="方正黑体_GBK" w:hAnsi="方正黑体_GBK" w:eastAsia="方正黑体_GBK" w:cs="方正黑体_GBK"/>
          <w:color w:val="auto"/>
          <w:sz w:val="28"/>
          <w:szCs w:val="28"/>
        </w:rPr>
        <w:t>供应商资格条件：</w:t>
      </w:r>
    </w:p>
    <w:p>
      <w:pPr>
        <w:pageBreakBefore w:val="0"/>
        <w:kinsoku/>
        <w:wordWrap/>
        <w:overflowPunct/>
        <w:topLinePunct w:val="0"/>
        <w:autoSpaceDE/>
        <w:autoSpaceDN/>
        <w:bidi w:val="0"/>
        <w:adjustRightInd/>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(一)参加报价的供应商应具备以下条件。。</w:t>
      </w:r>
    </w:p>
    <w:p>
      <w:pPr>
        <w:pageBreakBefore w:val="0"/>
        <w:kinsoku/>
        <w:wordWrap/>
        <w:overflowPunct/>
        <w:topLinePunct w:val="0"/>
        <w:autoSpaceDE/>
        <w:autoSpaceDN/>
        <w:bidi w:val="0"/>
        <w:adjustRightInd/>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）具有独立承担民事责任的能力；</w:t>
      </w:r>
    </w:p>
    <w:p>
      <w:pPr>
        <w:pageBreakBefore w:val="0"/>
        <w:kinsoku/>
        <w:wordWrap/>
        <w:overflowPunct/>
        <w:topLinePunct w:val="0"/>
        <w:autoSpaceDE/>
        <w:autoSpaceDN/>
        <w:bidi w:val="0"/>
        <w:adjustRightInd/>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 xml:space="preserve">）具有良好的商业信誉和健全的财务会计制度； </w:t>
      </w:r>
    </w:p>
    <w:p>
      <w:pPr>
        <w:pageBreakBefore w:val="0"/>
        <w:kinsoku/>
        <w:wordWrap/>
        <w:overflowPunct/>
        <w:topLinePunct w:val="0"/>
        <w:autoSpaceDE/>
        <w:autoSpaceDN/>
        <w:bidi w:val="0"/>
        <w:adjustRightInd/>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）具有履行合同所</w:t>
      </w:r>
      <w:r>
        <w:rPr>
          <w:rFonts w:hint="eastAsia" w:ascii="方正仿宋_GBK" w:hAnsi="方正仿宋_GBK" w:eastAsia="方正仿宋_GBK" w:cs="方正仿宋_GBK"/>
          <w:color w:val="auto"/>
          <w:sz w:val="28"/>
          <w:szCs w:val="28"/>
          <w:lang w:eastAsia="zh-CN"/>
        </w:rPr>
        <w:t>必需</w:t>
      </w:r>
      <w:r>
        <w:rPr>
          <w:rFonts w:hint="eastAsia" w:ascii="方正仿宋_GBK" w:hAnsi="方正仿宋_GBK" w:eastAsia="方正仿宋_GBK" w:cs="方正仿宋_GBK"/>
          <w:color w:val="auto"/>
          <w:sz w:val="28"/>
          <w:szCs w:val="28"/>
        </w:rPr>
        <w:t xml:space="preserve">的设备和专业技术能力； </w:t>
      </w:r>
    </w:p>
    <w:p>
      <w:pPr>
        <w:pageBreakBefore w:val="0"/>
        <w:kinsoku/>
        <w:wordWrap/>
        <w:overflowPunct/>
        <w:topLinePunct w:val="0"/>
        <w:autoSpaceDE/>
        <w:autoSpaceDN/>
        <w:bidi w:val="0"/>
        <w:adjustRightInd/>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 xml:space="preserve">）有依法缴纳税收和社会保障资金的良好记录； </w:t>
      </w:r>
    </w:p>
    <w:p>
      <w:pPr>
        <w:pageBreakBefore w:val="0"/>
        <w:kinsoku/>
        <w:wordWrap/>
        <w:overflowPunct/>
        <w:topLinePunct w:val="0"/>
        <w:autoSpaceDE/>
        <w:autoSpaceDN/>
        <w:bidi w:val="0"/>
        <w:adjustRightInd/>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）参加政府采购活动前三年内，在经营活动中没有重大违法记录：</w:t>
      </w:r>
    </w:p>
    <w:p>
      <w:pPr>
        <w:pageBreakBefore w:val="0"/>
        <w:kinsoku/>
        <w:wordWrap/>
        <w:overflowPunct/>
        <w:topLinePunct w:val="0"/>
        <w:autoSpaceDE/>
        <w:autoSpaceDN/>
        <w:bidi w:val="0"/>
        <w:adjustRightInd/>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rPr>
        <w:t>）法律、行政法规规定的其它条件；</w:t>
      </w:r>
    </w:p>
    <w:p>
      <w:pPr>
        <w:pageBreakBefore w:val="0"/>
        <w:kinsoku/>
        <w:wordWrap/>
        <w:overflowPunct/>
        <w:topLinePunct w:val="0"/>
        <w:autoSpaceDE/>
        <w:autoSpaceDN/>
        <w:bidi w:val="0"/>
        <w:adjustRightInd/>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w:t>
      </w:r>
      <w:r>
        <w:rPr>
          <w:rFonts w:hint="eastAsia" w:ascii="方正仿宋_GBK" w:hAnsi="方正仿宋_GBK" w:eastAsia="方正仿宋_GBK" w:cs="方正仿宋_GBK"/>
          <w:color w:val="auto"/>
          <w:sz w:val="28"/>
          <w:szCs w:val="28"/>
          <w:lang w:eastAsia="zh-CN"/>
        </w:rPr>
        <w:t>其他</w:t>
      </w:r>
      <w:r>
        <w:rPr>
          <w:rFonts w:hint="eastAsia" w:ascii="方正仿宋_GBK" w:hAnsi="方正仿宋_GBK" w:eastAsia="方正仿宋_GBK" w:cs="方正仿宋_GBK"/>
          <w:color w:val="auto"/>
          <w:sz w:val="28"/>
          <w:szCs w:val="28"/>
        </w:rPr>
        <w:t>条件</w:t>
      </w:r>
    </w:p>
    <w:p>
      <w:pPr>
        <w:pageBreakBefore w:val="0"/>
        <w:kinsoku/>
        <w:wordWrap/>
        <w:overflowPunct/>
        <w:topLinePunct w:val="0"/>
        <w:autoSpaceDE/>
        <w:autoSpaceDN/>
        <w:bidi w:val="0"/>
        <w:adjustRightInd/>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（1）具备</w:t>
      </w:r>
      <w:r>
        <w:rPr>
          <w:rFonts w:hint="eastAsia" w:ascii="方正仿宋_GBK" w:hAnsi="方正仿宋_GBK" w:eastAsia="方正仿宋_GBK" w:cs="方正仿宋_GBK"/>
          <w:color w:val="auto"/>
          <w:sz w:val="28"/>
          <w:szCs w:val="28"/>
        </w:rPr>
        <w:t>工程咨询</w:t>
      </w:r>
      <w:r>
        <w:rPr>
          <w:rFonts w:hint="eastAsia" w:ascii="方正仿宋_GBK" w:hAnsi="方正仿宋_GBK" w:eastAsia="方正仿宋_GBK" w:cs="方正仿宋_GBK"/>
          <w:color w:val="auto"/>
          <w:sz w:val="28"/>
          <w:szCs w:val="28"/>
          <w:lang w:val="en-US" w:eastAsia="zh-CN"/>
        </w:rPr>
        <w:t>单位</w:t>
      </w:r>
      <w:r>
        <w:rPr>
          <w:rFonts w:hint="eastAsia" w:ascii="方正仿宋_GBK" w:hAnsi="方正仿宋_GBK" w:eastAsia="方正仿宋_GBK" w:cs="方正仿宋_GBK"/>
          <w:color w:val="auto"/>
          <w:sz w:val="28"/>
          <w:szCs w:val="28"/>
        </w:rPr>
        <w:t>乙级</w:t>
      </w:r>
      <w:r>
        <w:rPr>
          <w:rFonts w:hint="eastAsia" w:ascii="方正仿宋_GBK" w:hAnsi="方正仿宋_GBK" w:eastAsia="方正仿宋_GBK" w:cs="方正仿宋_GBK"/>
          <w:color w:val="auto"/>
          <w:sz w:val="28"/>
          <w:szCs w:val="28"/>
          <w:lang w:val="en-US" w:eastAsia="zh-CN"/>
        </w:rPr>
        <w:t>资信</w:t>
      </w:r>
      <w:r>
        <w:rPr>
          <w:rFonts w:hint="eastAsia" w:ascii="方正仿宋_GBK" w:hAnsi="方正仿宋_GBK" w:eastAsia="方正仿宋_GBK" w:cs="方正仿宋_GBK"/>
          <w:color w:val="auto"/>
          <w:sz w:val="28"/>
          <w:szCs w:val="28"/>
          <w:lang w:eastAsia="zh-CN"/>
        </w:rPr>
        <w:t>（水利</w:t>
      </w:r>
      <w:r>
        <w:rPr>
          <w:rFonts w:hint="eastAsia" w:ascii="方正仿宋_GBK" w:hAnsi="方正仿宋_GBK" w:eastAsia="方正仿宋_GBK" w:cs="方正仿宋_GBK"/>
          <w:color w:val="auto"/>
          <w:sz w:val="28"/>
          <w:szCs w:val="28"/>
          <w:lang w:val="en-US" w:eastAsia="zh-CN"/>
        </w:rPr>
        <w:t>水电专业</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及以上资质</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具有</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名以上国家注册安全工程师，有</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名以上水利工程师或者水利水电</w:t>
      </w:r>
      <w:r>
        <w:rPr>
          <w:rFonts w:hint="eastAsia" w:ascii="方正仿宋_GBK" w:hAnsi="方正仿宋_GBK" w:eastAsia="方正仿宋_GBK" w:cs="方正仿宋_GBK"/>
          <w:color w:val="auto"/>
          <w:sz w:val="28"/>
          <w:szCs w:val="28"/>
          <w:lang w:eastAsia="zh-CN"/>
        </w:rPr>
        <w:t>工程</w:t>
      </w:r>
      <w:r>
        <w:rPr>
          <w:rFonts w:hint="eastAsia" w:ascii="方正仿宋_GBK" w:hAnsi="方正仿宋_GBK" w:eastAsia="方正仿宋_GBK" w:cs="方正仿宋_GBK"/>
          <w:color w:val="auto"/>
          <w:sz w:val="28"/>
          <w:szCs w:val="28"/>
        </w:rPr>
        <w:t>师；</w:t>
      </w:r>
    </w:p>
    <w:p>
      <w:pPr>
        <w:pStyle w:val="2"/>
        <w:pageBreakBefore w:val="0"/>
        <w:kinsoku/>
        <w:wordWrap/>
        <w:overflowPunct/>
        <w:topLinePunct w:val="0"/>
        <w:autoSpaceDE/>
        <w:autoSpaceDN/>
        <w:bidi w:val="0"/>
        <w:adjustRightInd/>
        <w:spacing w:line="480" w:lineRule="exact"/>
        <w:textAlignment w:val="auto"/>
        <w:rPr>
          <w:rFonts w:hint="default" w:eastAsia="方正仿宋_GBK"/>
          <w:color w:val="auto"/>
          <w:lang w:val="en-US" w:eastAsia="zh-CN"/>
        </w:rPr>
      </w:pPr>
      <w:r>
        <w:rPr>
          <w:rFonts w:hint="eastAsia" w:ascii="方正仿宋_GBK" w:hAnsi="方正仿宋_GBK" w:eastAsia="方正仿宋_GBK" w:cs="方正仿宋_GBK"/>
          <w:color w:val="auto"/>
          <w:sz w:val="28"/>
          <w:szCs w:val="28"/>
          <w:lang w:val="en-US" w:eastAsia="zh-CN"/>
        </w:rPr>
        <w:t xml:space="preserve">    （2）能根据甲方需要，聘请环境监测（水质实验室方向）、小水电运行管理、水厂运行管理方面的专家；</w:t>
      </w:r>
    </w:p>
    <w:p>
      <w:pPr>
        <w:pageBreakBefore w:val="0"/>
        <w:kinsoku/>
        <w:wordWrap/>
        <w:overflowPunct/>
        <w:topLinePunct w:val="0"/>
        <w:autoSpaceDE/>
        <w:autoSpaceDN/>
        <w:bidi w:val="0"/>
        <w:adjustRightInd/>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近五年内有承担过水利</w:t>
      </w:r>
      <w:r>
        <w:rPr>
          <w:rFonts w:hint="eastAsia" w:ascii="方正仿宋_GBK" w:hAnsi="方正仿宋_GBK" w:eastAsia="方正仿宋_GBK" w:cs="方正仿宋_GBK"/>
          <w:color w:val="auto"/>
          <w:sz w:val="28"/>
          <w:szCs w:val="28"/>
          <w:lang w:eastAsia="zh-CN"/>
        </w:rPr>
        <w:t>类安全监督检查</w:t>
      </w:r>
      <w:r>
        <w:rPr>
          <w:rFonts w:hint="eastAsia" w:ascii="方正仿宋_GBK" w:hAnsi="方正仿宋_GBK" w:eastAsia="方正仿宋_GBK" w:cs="方正仿宋_GBK"/>
          <w:color w:val="auto"/>
          <w:sz w:val="28"/>
          <w:szCs w:val="28"/>
        </w:rPr>
        <w:t>的业绩。</w:t>
      </w:r>
    </w:p>
    <w:p>
      <w:pPr>
        <w:pageBreakBefore w:val="0"/>
        <w:kinsoku/>
        <w:wordWrap/>
        <w:overflowPunct/>
        <w:topLinePunct w:val="0"/>
        <w:autoSpaceDE/>
        <w:autoSpaceDN/>
        <w:bidi w:val="0"/>
        <w:adjustRightInd/>
        <w:spacing w:line="48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项目负责人需具备</w:t>
      </w:r>
      <w:r>
        <w:rPr>
          <w:rFonts w:hint="eastAsia" w:ascii="方正仿宋_GBK" w:hAnsi="方正仿宋_GBK" w:eastAsia="方正仿宋_GBK" w:cs="方正仿宋_GBK"/>
          <w:color w:val="auto"/>
          <w:sz w:val="28"/>
          <w:szCs w:val="28"/>
          <w:lang w:eastAsia="zh-CN"/>
        </w:rPr>
        <w:t>水利类高级及以上职称</w:t>
      </w:r>
      <w:r>
        <w:rPr>
          <w:rFonts w:hint="eastAsia" w:ascii="方正仿宋_GBK" w:hAnsi="方正仿宋_GBK" w:eastAsia="方正仿宋_GBK" w:cs="方正仿宋_GBK"/>
          <w:color w:val="auto"/>
          <w:sz w:val="28"/>
          <w:szCs w:val="28"/>
        </w:rPr>
        <w:t>。</w:t>
      </w:r>
    </w:p>
    <w:p>
      <w:pPr>
        <w:pageBreakBefore w:val="0"/>
        <w:kinsoku/>
        <w:wordWrap/>
        <w:overflowPunct/>
        <w:topLinePunct w:val="0"/>
        <w:autoSpaceDE/>
        <w:autoSpaceDN/>
        <w:bidi w:val="0"/>
        <w:adjustRightInd/>
        <w:spacing w:line="480" w:lineRule="exact"/>
        <w:ind w:firstLine="560" w:firstLineChars="200"/>
        <w:textAlignment w:val="auto"/>
        <w:rPr>
          <w:rFonts w:hint="eastAsia"/>
          <w:color w:val="auto"/>
        </w:rPr>
      </w:pPr>
      <w:r>
        <w:rPr>
          <w:rFonts w:hint="eastAsia" w:ascii="方正仿宋_GBK" w:hAnsi="方正仿宋_GBK" w:eastAsia="方正仿宋_GBK" w:cs="方正仿宋_GBK"/>
          <w:color w:val="auto"/>
          <w:sz w:val="28"/>
          <w:szCs w:val="28"/>
        </w:rPr>
        <w:t>（以上证明材料的复印件加盖投标人公章，原件备查）</w:t>
      </w:r>
    </w:p>
    <w:p>
      <w:pPr>
        <w:pageBreakBefore w:val="0"/>
        <w:kinsoku/>
        <w:wordWrap/>
        <w:overflowPunct/>
        <w:topLinePunct w:val="0"/>
        <w:autoSpaceDE/>
        <w:autoSpaceDN/>
        <w:bidi w:val="0"/>
        <w:adjustRightInd/>
        <w:spacing w:line="480" w:lineRule="exact"/>
        <w:ind w:left="105" w:leftChars="50" w:firstLine="420" w:firstLineChars="150"/>
        <w:textAlignment w:val="auto"/>
        <w:rPr>
          <w:rFonts w:hint="eastAsia" w:ascii="方正仿宋_GBK" w:hAnsi="方正仿宋_GBK" w:eastAsia="方正仿宋_GBK" w:cs="方正仿宋_GBK"/>
          <w:color w:val="auto"/>
          <w:sz w:val="28"/>
          <w:szCs w:val="28"/>
          <w:lang w:eastAsia="zh-CN"/>
        </w:rPr>
      </w:pPr>
      <w:r>
        <w:rPr>
          <w:rFonts w:hint="eastAsia" w:ascii="方正黑体_GBK" w:hAnsi="方正黑体_GBK" w:eastAsia="方正黑体_GBK" w:cs="方正黑体_GBK"/>
          <w:color w:val="auto"/>
          <w:sz w:val="28"/>
          <w:szCs w:val="28"/>
        </w:rPr>
        <w:t>四、</w:t>
      </w:r>
      <w:r>
        <w:rPr>
          <w:rFonts w:hint="eastAsia" w:ascii="方正黑体_GBK" w:hAnsi="方正黑体_GBK" w:eastAsia="方正黑体_GBK" w:cs="方正黑体_GBK"/>
          <w:color w:val="auto"/>
          <w:sz w:val="28"/>
          <w:szCs w:val="28"/>
          <w:lang w:eastAsia="zh-CN"/>
        </w:rPr>
        <w:t>投标文件递交</w:t>
      </w:r>
      <w:r>
        <w:rPr>
          <w:rFonts w:hint="eastAsia" w:ascii="方正黑体_GBK" w:hAnsi="方正黑体_GBK" w:eastAsia="方正黑体_GBK" w:cs="方正黑体_GBK"/>
          <w:color w:val="auto"/>
          <w:sz w:val="28"/>
          <w:szCs w:val="28"/>
        </w:rPr>
        <w:t>起止时间：</w:t>
      </w:r>
      <w:r>
        <w:rPr>
          <w:rFonts w:hint="eastAsia" w:ascii="方正仿宋_GBK" w:hAnsi="方正仿宋_GBK" w:eastAsia="方正仿宋_GBK" w:cs="方正仿宋_GBK"/>
          <w:color w:val="auto"/>
          <w:sz w:val="28"/>
          <w:szCs w:val="28"/>
          <w:lang w:val="en-US" w:eastAsia="zh-CN"/>
        </w:rPr>
        <w:t>2022</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rPr>
        <w:t>日</w:t>
      </w:r>
      <w:r>
        <w:rPr>
          <w:rFonts w:hint="eastAsia" w:ascii="方正仿宋_GBK" w:hAnsi="方正仿宋_GBK" w:eastAsia="方正仿宋_GBK" w:cs="方正仿宋_GBK"/>
          <w:color w:val="auto"/>
          <w:sz w:val="28"/>
          <w:szCs w:val="28"/>
          <w:lang w:val="en-US" w:eastAsia="zh-CN"/>
        </w:rPr>
        <w:t>14</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30至2022年3月10日15：00</w:t>
      </w:r>
      <w:r>
        <w:rPr>
          <w:rFonts w:hint="eastAsia" w:ascii="方正仿宋_GBK" w:hAnsi="方正仿宋_GBK" w:eastAsia="方正仿宋_GBK" w:cs="方正仿宋_GBK"/>
          <w:color w:val="auto"/>
          <w:sz w:val="28"/>
          <w:szCs w:val="28"/>
        </w:rPr>
        <w:t>止</w:t>
      </w:r>
      <w:r>
        <w:rPr>
          <w:rFonts w:hint="eastAsia" w:ascii="方正仿宋_GBK" w:hAnsi="方正仿宋_GBK" w:eastAsia="方正仿宋_GBK" w:cs="方正仿宋_GBK"/>
          <w:color w:val="auto"/>
          <w:sz w:val="28"/>
          <w:szCs w:val="28"/>
          <w:lang w:eastAsia="zh-CN"/>
        </w:rPr>
        <w:t>，逾期不予接受。</w:t>
      </w:r>
    </w:p>
    <w:p>
      <w:pPr>
        <w:pageBreakBefore w:val="0"/>
        <w:kinsoku/>
        <w:wordWrap/>
        <w:overflowPunct/>
        <w:topLinePunct w:val="0"/>
        <w:autoSpaceDE/>
        <w:autoSpaceDN/>
        <w:bidi w:val="0"/>
        <w:adjustRightInd/>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黑体_GBK" w:hAnsi="方正黑体_GBK" w:eastAsia="方正黑体_GBK" w:cs="方正黑体_GBK"/>
          <w:color w:val="auto"/>
          <w:sz w:val="28"/>
          <w:szCs w:val="28"/>
        </w:rPr>
        <w:t>五、</w:t>
      </w:r>
      <w:r>
        <w:rPr>
          <w:rFonts w:hint="eastAsia" w:ascii="方正黑体_GBK" w:hAnsi="方正黑体_GBK" w:eastAsia="方正黑体_GBK" w:cs="方正黑体_GBK"/>
          <w:color w:val="auto"/>
          <w:sz w:val="28"/>
          <w:szCs w:val="28"/>
          <w:lang w:eastAsia="zh-CN"/>
        </w:rPr>
        <w:t>投标文件递交</w:t>
      </w:r>
      <w:r>
        <w:rPr>
          <w:rFonts w:hint="eastAsia" w:ascii="方正黑体_GBK" w:hAnsi="方正黑体_GBK" w:eastAsia="方正黑体_GBK" w:cs="方正黑体_GBK"/>
          <w:color w:val="auto"/>
          <w:sz w:val="28"/>
          <w:szCs w:val="28"/>
        </w:rPr>
        <w:t>地点：</w:t>
      </w:r>
      <w:r>
        <w:rPr>
          <w:rFonts w:hint="eastAsia" w:ascii="方正仿宋_GBK" w:hAnsi="方正仿宋_GBK" w:eastAsia="方正仿宋_GBK" w:cs="方正仿宋_GBK"/>
          <w:color w:val="auto"/>
          <w:sz w:val="28"/>
          <w:szCs w:val="28"/>
          <w:lang w:eastAsia="zh-CN"/>
        </w:rPr>
        <w:t>北碚</w:t>
      </w:r>
      <w:r>
        <w:rPr>
          <w:rFonts w:hint="eastAsia" w:ascii="方正仿宋_GBK" w:hAnsi="方正仿宋_GBK" w:eastAsia="方正仿宋_GBK" w:cs="方正仿宋_GBK"/>
          <w:color w:val="auto"/>
          <w:sz w:val="28"/>
          <w:szCs w:val="28"/>
        </w:rPr>
        <w:t>区水利局</w:t>
      </w:r>
      <w:r>
        <w:rPr>
          <w:rFonts w:hint="eastAsia" w:ascii="方正仿宋_GBK" w:hAnsi="方正仿宋_GBK" w:eastAsia="方正仿宋_GBK" w:cs="方正仿宋_GBK"/>
          <w:color w:val="auto"/>
          <w:sz w:val="28"/>
          <w:szCs w:val="28"/>
          <w:lang w:eastAsia="zh-CN"/>
        </w:rPr>
        <w:t>水利工程安全监督站</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北碚</w:t>
      </w:r>
      <w:r>
        <w:rPr>
          <w:rFonts w:hint="eastAsia" w:ascii="方正仿宋_GBK" w:hAnsi="方正仿宋_GBK" w:eastAsia="方正仿宋_GBK" w:cs="方正仿宋_GBK"/>
          <w:color w:val="auto"/>
          <w:sz w:val="28"/>
          <w:szCs w:val="28"/>
        </w:rPr>
        <w:t>区</w:t>
      </w:r>
      <w:r>
        <w:rPr>
          <w:rFonts w:hint="eastAsia" w:ascii="方正仿宋_GBK" w:hAnsi="方正仿宋_GBK" w:eastAsia="方正仿宋_GBK" w:cs="方正仿宋_GBK"/>
          <w:color w:val="auto"/>
          <w:sz w:val="28"/>
          <w:szCs w:val="28"/>
          <w:lang w:eastAsia="zh-CN"/>
        </w:rPr>
        <w:t>云清路</w:t>
      </w:r>
      <w:r>
        <w:rPr>
          <w:rFonts w:hint="eastAsia" w:ascii="方正仿宋_GBK" w:hAnsi="方正仿宋_GBK" w:eastAsia="方正仿宋_GBK" w:cs="方正仿宋_GBK"/>
          <w:color w:val="auto"/>
          <w:sz w:val="28"/>
          <w:szCs w:val="28"/>
          <w:lang w:val="en-US" w:eastAsia="zh-CN"/>
        </w:rPr>
        <w:t>77</w:t>
      </w:r>
      <w:r>
        <w:rPr>
          <w:rFonts w:hint="eastAsia" w:ascii="方正仿宋_GBK" w:hAnsi="方正仿宋_GBK" w:eastAsia="方正仿宋_GBK" w:cs="方正仿宋_GBK"/>
          <w:color w:val="auto"/>
          <w:sz w:val="28"/>
          <w:szCs w:val="28"/>
        </w:rPr>
        <w:t>号）。</w:t>
      </w:r>
    </w:p>
    <w:p>
      <w:pPr>
        <w:pageBreakBefore w:val="0"/>
        <w:kinsoku/>
        <w:wordWrap/>
        <w:overflowPunct/>
        <w:topLinePunct w:val="0"/>
        <w:autoSpaceDE/>
        <w:autoSpaceDN/>
        <w:bidi w:val="0"/>
        <w:adjustRightInd/>
        <w:spacing w:line="480" w:lineRule="exact"/>
        <w:ind w:firstLine="560" w:firstLineChars="200"/>
        <w:jc w:val="left"/>
        <w:textAlignment w:val="auto"/>
        <w:rPr>
          <w:rFonts w:hint="eastAsia" w:ascii="方正仿宋_GBK" w:hAnsi="方正仿宋_GBK" w:eastAsia="方正仿宋_GBK" w:cs="方正仿宋_GBK"/>
          <w:color w:val="auto"/>
          <w:sz w:val="28"/>
          <w:szCs w:val="28"/>
        </w:rPr>
      </w:pPr>
      <w:r>
        <w:rPr>
          <w:rFonts w:hint="eastAsia" w:ascii="方正黑体_GBK" w:hAnsi="方正黑体_GBK" w:eastAsia="方正黑体_GBK" w:cs="方正黑体_GBK"/>
          <w:color w:val="auto"/>
          <w:sz w:val="28"/>
          <w:szCs w:val="28"/>
        </w:rPr>
        <w:t>六、本项目</w:t>
      </w:r>
      <w:r>
        <w:rPr>
          <w:rFonts w:hint="eastAsia" w:ascii="方正黑体_GBK" w:hAnsi="方正黑体_GBK" w:eastAsia="方正黑体_GBK" w:cs="方正黑体_GBK"/>
          <w:color w:val="auto"/>
          <w:sz w:val="28"/>
          <w:szCs w:val="28"/>
          <w:lang w:eastAsia="zh-CN"/>
        </w:rPr>
        <w:t>开标</w:t>
      </w:r>
      <w:r>
        <w:rPr>
          <w:rFonts w:hint="eastAsia" w:ascii="方正黑体_GBK" w:hAnsi="方正黑体_GBK" w:eastAsia="方正黑体_GBK" w:cs="方正黑体_GBK"/>
          <w:color w:val="auto"/>
          <w:sz w:val="28"/>
          <w:szCs w:val="28"/>
        </w:rPr>
        <w:t>开始时间：</w:t>
      </w:r>
      <w:r>
        <w:rPr>
          <w:rFonts w:hint="eastAsia" w:ascii="方正仿宋_GBK" w:hAnsi="方正仿宋_GBK" w:eastAsia="方正仿宋_GBK" w:cs="方正仿宋_GBK"/>
          <w:color w:val="auto"/>
          <w:sz w:val="28"/>
          <w:szCs w:val="28"/>
          <w:lang w:val="en-US" w:eastAsia="zh-CN"/>
        </w:rPr>
        <w:t>2022</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rPr>
        <w:t>日</w:t>
      </w:r>
      <w:r>
        <w:rPr>
          <w:rFonts w:hint="eastAsia" w:ascii="方正仿宋_GBK" w:hAnsi="方正仿宋_GBK" w:eastAsia="方正仿宋_GBK" w:cs="方正仿宋_GBK"/>
          <w:color w:val="auto"/>
          <w:sz w:val="28"/>
          <w:szCs w:val="28"/>
          <w:lang w:val="en-US" w:eastAsia="zh-CN"/>
        </w:rPr>
        <w:t>15：00</w:t>
      </w:r>
      <w:r>
        <w:rPr>
          <w:rFonts w:hint="eastAsia" w:ascii="方正仿宋_GBK" w:hAnsi="方正仿宋_GBK" w:eastAsia="方正仿宋_GBK" w:cs="方正仿宋_GBK"/>
          <w:color w:val="auto"/>
          <w:sz w:val="28"/>
          <w:szCs w:val="28"/>
        </w:rPr>
        <w:t>。</w:t>
      </w:r>
    </w:p>
    <w:p>
      <w:pPr>
        <w:pageBreakBefore w:val="0"/>
        <w:kinsoku/>
        <w:wordWrap/>
        <w:overflowPunct/>
        <w:topLinePunct w:val="0"/>
        <w:autoSpaceDE/>
        <w:autoSpaceDN/>
        <w:bidi w:val="0"/>
        <w:adjustRightInd/>
        <w:spacing w:line="48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黑体_GBK" w:hAnsi="方正黑体_GBK" w:eastAsia="方正黑体_GBK" w:cs="方正黑体_GBK"/>
          <w:color w:val="auto"/>
          <w:sz w:val="28"/>
          <w:szCs w:val="28"/>
        </w:rPr>
        <w:t>七、</w:t>
      </w:r>
      <w:r>
        <w:rPr>
          <w:rFonts w:hint="eastAsia" w:ascii="方正黑体_GBK" w:hAnsi="方正黑体_GBK" w:eastAsia="方正黑体_GBK" w:cs="方正黑体_GBK"/>
          <w:color w:val="auto"/>
          <w:sz w:val="28"/>
          <w:szCs w:val="28"/>
          <w:lang w:eastAsia="zh-CN"/>
        </w:rPr>
        <w:t>投标文件主要</w:t>
      </w:r>
      <w:r>
        <w:rPr>
          <w:rFonts w:hint="eastAsia" w:ascii="方正黑体_GBK" w:hAnsi="方正黑体_GBK" w:eastAsia="方正黑体_GBK" w:cs="方正黑体_GBK"/>
          <w:color w:val="auto"/>
          <w:sz w:val="28"/>
          <w:szCs w:val="28"/>
        </w:rPr>
        <w:t>内容：</w:t>
      </w:r>
      <w:r>
        <w:rPr>
          <w:rFonts w:hint="eastAsia" w:ascii="方正仿宋_GBK" w:hAnsi="方正仿宋_GBK" w:eastAsia="方正仿宋_GBK" w:cs="方正仿宋_GBK"/>
          <w:color w:val="auto"/>
          <w:sz w:val="28"/>
          <w:szCs w:val="28"/>
        </w:rPr>
        <w:t>法定代表人身份证明（附录1）、法定代表人授权委托书（附录2）、明细报价表（附录5）、企业法定代表人营业执照复印件及其他有关承诺</w:t>
      </w:r>
      <w:r>
        <w:rPr>
          <w:rFonts w:hint="eastAsia" w:ascii="方正仿宋_GBK" w:hAnsi="方正仿宋_GBK" w:eastAsia="方正仿宋_GBK" w:cs="方正仿宋_GBK"/>
          <w:color w:val="auto"/>
          <w:sz w:val="28"/>
          <w:szCs w:val="28"/>
          <w:lang w:eastAsia="zh-CN"/>
        </w:rPr>
        <w:t>、业绩资料</w:t>
      </w:r>
      <w:r>
        <w:rPr>
          <w:rFonts w:hint="eastAsia" w:ascii="方正仿宋_GBK" w:hAnsi="方正仿宋_GBK" w:eastAsia="方正仿宋_GBK" w:cs="方正仿宋_GBK"/>
          <w:color w:val="auto"/>
          <w:sz w:val="28"/>
          <w:szCs w:val="28"/>
        </w:rPr>
        <w:t>；并附公司</w:t>
      </w:r>
      <w:r>
        <w:rPr>
          <w:rFonts w:hint="eastAsia" w:ascii="方正仿宋_GBK" w:hAnsi="方正仿宋_GBK" w:eastAsia="方正仿宋_GBK" w:cs="方正仿宋_GBK"/>
          <w:color w:val="auto"/>
          <w:sz w:val="28"/>
          <w:szCs w:val="28"/>
          <w:lang w:eastAsia="zh-CN"/>
        </w:rPr>
        <w:t>及人员</w:t>
      </w:r>
      <w:r>
        <w:rPr>
          <w:rFonts w:hint="eastAsia" w:ascii="方正仿宋_GBK" w:hAnsi="方正仿宋_GBK" w:eastAsia="方正仿宋_GBK" w:cs="方正仿宋_GBK"/>
          <w:color w:val="auto"/>
          <w:sz w:val="28"/>
          <w:szCs w:val="28"/>
        </w:rPr>
        <w:t>资质、彩图等相关资料。以上资料一份，装订成册</w:t>
      </w:r>
      <w:r>
        <w:rPr>
          <w:rFonts w:hint="eastAsia" w:ascii="方正仿宋_GBK" w:hAnsi="方正仿宋_GBK" w:eastAsia="方正仿宋_GBK" w:cs="方正仿宋_GBK"/>
          <w:color w:val="auto"/>
          <w:sz w:val="28"/>
          <w:szCs w:val="28"/>
          <w:lang w:val="en-US" w:eastAsia="zh-CN"/>
        </w:rPr>
        <w:t>盖供应商公章骑缝章</w:t>
      </w:r>
      <w:r>
        <w:rPr>
          <w:rFonts w:hint="eastAsia" w:ascii="方正仿宋_GBK" w:hAnsi="方正仿宋_GBK" w:eastAsia="方正仿宋_GBK" w:cs="方正仿宋_GBK"/>
          <w:color w:val="auto"/>
          <w:sz w:val="28"/>
          <w:szCs w:val="28"/>
        </w:rPr>
        <w:t>后密封。封面应有投标人名称、法人或授权代表姓名及联系方式，封口处须加盖</w:t>
      </w:r>
      <w:r>
        <w:rPr>
          <w:rFonts w:hint="eastAsia" w:ascii="方正仿宋_GBK" w:hAnsi="方正仿宋_GBK" w:eastAsia="方正仿宋_GBK" w:cs="方正仿宋_GBK"/>
          <w:color w:val="auto"/>
          <w:sz w:val="28"/>
          <w:szCs w:val="28"/>
          <w:highlight w:val="none"/>
        </w:rPr>
        <w:t>供应商</w:t>
      </w:r>
      <w:r>
        <w:rPr>
          <w:rFonts w:hint="eastAsia" w:ascii="方正仿宋_GBK" w:hAnsi="方正仿宋_GBK" w:eastAsia="方正仿宋_GBK" w:cs="方正仿宋_GBK"/>
          <w:color w:val="auto"/>
          <w:sz w:val="28"/>
          <w:szCs w:val="28"/>
        </w:rPr>
        <w:t>公章。（不按规定制作装订、密封的，为无效报价）</w:t>
      </w:r>
    </w:p>
    <w:p>
      <w:pPr>
        <w:pageBreakBefore w:val="0"/>
        <w:kinsoku/>
        <w:wordWrap/>
        <w:overflowPunct/>
        <w:topLinePunct w:val="0"/>
        <w:autoSpaceDE/>
        <w:autoSpaceDN/>
        <w:bidi w:val="0"/>
        <w:adjustRightInd/>
        <w:snapToGrid w:val="0"/>
        <w:spacing w:line="480" w:lineRule="exact"/>
        <w:ind w:firstLine="560" w:firstLineChars="200"/>
        <w:textAlignment w:val="auto"/>
        <w:outlineLvl w:val="0"/>
        <w:rPr>
          <w:rFonts w:hint="eastAsia" w:ascii="方正仿宋_GBK" w:hAnsi="方正仿宋_GBK" w:eastAsia="方正仿宋_GBK" w:cs="方正仿宋_GBK"/>
          <w:color w:val="auto"/>
          <w:sz w:val="28"/>
          <w:szCs w:val="28"/>
          <w:lang w:val="en-US" w:eastAsia="zh-CN"/>
        </w:rPr>
      </w:pPr>
      <w:r>
        <w:rPr>
          <w:rFonts w:hint="eastAsia" w:ascii="方正黑体_GBK" w:hAnsi="方正黑体_GBK" w:eastAsia="方正黑体_GBK" w:cs="方正黑体_GBK"/>
          <w:color w:val="auto"/>
          <w:sz w:val="28"/>
          <w:szCs w:val="28"/>
          <w:lang w:eastAsia="zh-CN"/>
        </w:rPr>
        <w:t>八</w:t>
      </w:r>
      <w:r>
        <w:rPr>
          <w:rFonts w:hint="eastAsia" w:ascii="方正黑体_GBK" w:hAnsi="方正黑体_GBK" w:eastAsia="方正黑体_GBK" w:cs="方正黑体_GBK"/>
          <w:color w:val="auto"/>
          <w:sz w:val="28"/>
          <w:szCs w:val="28"/>
        </w:rPr>
        <w:t>、付款方式：</w:t>
      </w:r>
      <w:r>
        <w:rPr>
          <w:rFonts w:hint="eastAsia" w:ascii="方正仿宋_GBK" w:hAnsi="方正仿宋_GBK" w:eastAsia="方正仿宋_GBK" w:cs="方正仿宋_GBK"/>
          <w:color w:val="auto"/>
          <w:sz w:val="28"/>
          <w:szCs w:val="28"/>
          <w:lang w:eastAsia="zh-CN"/>
        </w:rPr>
        <w:t>分二次付清。</w:t>
      </w:r>
      <w:r>
        <w:rPr>
          <w:rFonts w:hint="eastAsia" w:ascii="方正仿宋_GBK" w:hAnsi="方正仿宋_GBK" w:eastAsia="方正仿宋_GBK" w:cs="方正仿宋_GBK"/>
          <w:color w:val="auto"/>
          <w:sz w:val="28"/>
          <w:szCs w:val="28"/>
          <w:lang w:val="en-US" w:eastAsia="zh-CN"/>
        </w:rPr>
        <w:t>具体按合同约定。</w:t>
      </w:r>
    </w:p>
    <w:p>
      <w:pPr>
        <w:pageBreakBefore w:val="0"/>
        <w:kinsoku/>
        <w:wordWrap/>
        <w:overflowPunct/>
        <w:topLinePunct w:val="0"/>
        <w:autoSpaceDE/>
        <w:autoSpaceDN/>
        <w:bidi w:val="0"/>
        <w:adjustRightInd/>
        <w:snapToGrid w:val="0"/>
        <w:spacing w:line="480" w:lineRule="exact"/>
        <w:ind w:firstLine="560" w:firstLineChars="200"/>
        <w:textAlignment w:val="auto"/>
        <w:outlineLvl w:val="0"/>
        <w:rPr>
          <w:rFonts w:hint="eastAsia" w:ascii="方正仿宋_GBK" w:hAnsi="方正仿宋_GBK" w:eastAsia="方正仿宋_GBK" w:cs="方正仿宋_GBK"/>
          <w:color w:val="auto"/>
          <w:sz w:val="28"/>
          <w:szCs w:val="28"/>
        </w:rPr>
      </w:pPr>
      <w:r>
        <w:rPr>
          <w:rFonts w:hint="eastAsia" w:ascii="方正黑体_GBK" w:hAnsi="方正黑体_GBK" w:eastAsia="方正黑体_GBK" w:cs="方正黑体_GBK"/>
          <w:color w:val="auto"/>
          <w:sz w:val="28"/>
          <w:szCs w:val="28"/>
          <w:lang w:eastAsia="zh-CN"/>
        </w:rPr>
        <w:t>九</w:t>
      </w:r>
      <w:r>
        <w:rPr>
          <w:rFonts w:hint="eastAsia" w:ascii="方正黑体_GBK" w:hAnsi="方正黑体_GBK" w:eastAsia="方正黑体_GBK" w:cs="方正黑体_GBK"/>
          <w:color w:val="auto"/>
          <w:sz w:val="28"/>
          <w:szCs w:val="28"/>
        </w:rPr>
        <w:t>、付款单位：</w:t>
      </w:r>
      <w:r>
        <w:rPr>
          <w:rFonts w:hint="eastAsia" w:ascii="方正仿宋_GBK" w:hAnsi="方正仿宋_GBK" w:eastAsia="方正仿宋_GBK" w:cs="方正仿宋_GBK"/>
          <w:color w:val="auto"/>
          <w:sz w:val="28"/>
          <w:szCs w:val="28"/>
        </w:rPr>
        <w:t>重庆市</w:t>
      </w:r>
      <w:r>
        <w:rPr>
          <w:rFonts w:hint="eastAsia" w:ascii="方正仿宋_GBK" w:hAnsi="方正仿宋_GBK" w:eastAsia="方正仿宋_GBK" w:cs="方正仿宋_GBK"/>
          <w:color w:val="auto"/>
          <w:sz w:val="28"/>
          <w:szCs w:val="28"/>
          <w:lang w:eastAsia="zh-CN"/>
        </w:rPr>
        <w:t>北碚</w:t>
      </w:r>
      <w:r>
        <w:rPr>
          <w:rFonts w:hint="eastAsia" w:ascii="方正仿宋_GBK" w:hAnsi="方正仿宋_GBK" w:eastAsia="方正仿宋_GBK" w:cs="方正仿宋_GBK"/>
          <w:color w:val="auto"/>
          <w:sz w:val="28"/>
          <w:szCs w:val="28"/>
        </w:rPr>
        <w:t>区水利局</w:t>
      </w:r>
    </w:p>
    <w:p>
      <w:pPr>
        <w:pStyle w:val="10"/>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right="0" w:firstLine="560" w:firstLineChars="20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黑体_GBK" w:hAnsi="方正黑体_GBK" w:eastAsia="方正黑体_GBK" w:cs="方正黑体_GBK"/>
          <w:color w:val="auto"/>
          <w:sz w:val="28"/>
          <w:szCs w:val="28"/>
        </w:rPr>
        <w:t>十、</w:t>
      </w:r>
      <w:r>
        <w:rPr>
          <w:rFonts w:hint="eastAsia" w:ascii="方正黑体_GBK" w:hAnsi="方正黑体_GBK" w:eastAsia="方正黑体_GBK" w:cs="方正黑体_GBK"/>
          <w:color w:val="auto"/>
          <w:sz w:val="28"/>
          <w:szCs w:val="28"/>
          <w:lang w:eastAsia="zh-CN"/>
        </w:rPr>
        <w:t>开标流程：</w:t>
      </w:r>
      <w:r>
        <w:rPr>
          <w:rFonts w:hint="eastAsia" w:ascii="方正仿宋_GBK" w:hAnsi="方正仿宋_GBK" w:eastAsia="方正仿宋_GBK" w:cs="方正仿宋_GBK"/>
          <w:color w:val="auto"/>
          <w:kern w:val="2"/>
          <w:sz w:val="28"/>
          <w:szCs w:val="28"/>
          <w:lang w:val="en-US" w:eastAsia="zh-CN" w:bidi="ar-SA"/>
        </w:rPr>
        <w:t>开标应当在比选文件确定的提交</w:t>
      </w:r>
      <w:r>
        <w:rPr>
          <w:rFonts w:hint="eastAsia" w:ascii="方正仿宋_GBK" w:hAnsi="方正仿宋_GBK" w:eastAsia="方正仿宋_GBK" w:cs="方正仿宋_GBK"/>
          <w:color w:val="auto"/>
          <w:kern w:val="2"/>
          <w:sz w:val="28"/>
          <w:szCs w:val="28"/>
          <w:highlight w:val="none"/>
          <w:lang w:val="en-US" w:eastAsia="zh-CN" w:bidi="ar-SA"/>
        </w:rPr>
        <w:t>参选申请</w:t>
      </w:r>
      <w:r>
        <w:rPr>
          <w:rFonts w:hint="eastAsia" w:ascii="方正仿宋_GBK" w:hAnsi="方正仿宋_GBK" w:eastAsia="方正仿宋_GBK" w:cs="方正仿宋_GBK"/>
          <w:color w:val="auto"/>
          <w:kern w:val="2"/>
          <w:sz w:val="28"/>
          <w:szCs w:val="28"/>
          <w:lang w:val="en-US" w:eastAsia="zh-CN" w:bidi="ar-SA"/>
        </w:rPr>
        <w:t>书截止的同一时间公开进行。流程如下：</w:t>
      </w:r>
    </w:p>
    <w:p>
      <w:pPr>
        <w:pStyle w:val="10"/>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right="0" w:firstLine="42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（一）签收参选申请书；</w:t>
      </w:r>
    </w:p>
    <w:p>
      <w:pPr>
        <w:pStyle w:val="10"/>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right="0" w:firstLine="42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（二）与会人员签字；</w:t>
      </w:r>
    </w:p>
    <w:p>
      <w:pPr>
        <w:pStyle w:val="10"/>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right="0" w:firstLine="42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（三）主持人介绍项目情况；</w:t>
      </w:r>
    </w:p>
    <w:p>
      <w:pPr>
        <w:pStyle w:val="10"/>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right="0" w:firstLine="42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（四）宣布开标人、唱标人、记录人和监督人员；</w:t>
      </w:r>
    </w:p>
    <w:p>
      <w:pPr>
        <w:pStyle w:val="10"/>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right="0" w:firstLine="42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（五）查验确认参</w:t>
      </w:r>
      <w:r>
        <w:rPr>
          <w:rFonts w:hint="eastAsia" w:ascii="方正仿宋_GBK" w:hAnsi="方正仿宋_GBK" w:eastAsia="方正仿宋_GBK" w:cs="方正仿宋_GBK"/>
          <w:color w:val="auto"/>
          <w:kern w:val="2"/>
          <w:sz w:val="28"/>
          <w:szCs w:val="28"/>
          <w:highlight w:val="none"/>
          <w:lang w:val="en-US" w:eastAsia="zh-CN" w:bidi="ar-SA"/>
        </w:rPr>
        <w:t>选申请书密</w:t>
      </w:r>
      <w:r>
        <w:rPr>
          <w:rFonts w:hint="eastAsia" w:ascii="方正仿宋_GBK" w:hAnsi="方正仿宋_GBK" w:eastAsia="方正仿宋_GBK" w:cs="方正仿宋_GBK"/>
          <w:color w:val="auto"/>
          <w:kern w:val="2"/>
          <w:sz w:val="28"/>
          <w:szCs w:val="28"/>
          <w:lang w:val="en-US" w:eastAsia="zh-CN" w:bidi="ar-SA"/>
        </w:rPr>
        <w:t>封情况</w:t>
      </w:r>
    </w:p>
    <w:p>
      <w:pPr>
        <w:pStyle w:val="10"/>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right="0" w:firstLine="42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（六）查验证件，核实参选人身份</w:t>
      </w:r>
    </w:p>
    <w:p>
      <w:pPr>
        <w:pStyle w:val="10"/>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right="0" w:firstLine="42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（七）开标</w:t>
      </w:r>
    </w:p>
    <w:p>
      <w:pPr>
        <w:pStyle w:val="10"/>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right="0" w:firstLine="42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（八）评标</w:t>
      </w:r>
    </w:p>
    <w:p>
      <w:pPr>
        <w:pStyle w:val="10"/>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right="0" w:firstLine="42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（九）宣布评标结果</w:t>
      </w:r>
    </w:p>
    <w:p>
      <w:pPr>
        <w:pStyle w:val="10"/>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right="0" w:firstLine="42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采购商因特殊情况需要延迟开标的，应提前24小时在北碚区水利局网站发布补充通知，通知潜在投标人。</w:t>
      </w:r>
    </w:p>
    <w:p>
      <w:pPr>
        <w:pStyle w:val="10"/>
        <w:keepNext w:val="0"/>
        <w:keepLines w:val="0"/>
        <w:pageBreakBefore w:val="0"/>
        <w:widowControl/>
        <w:numPr>
          <w:ilvl w:val="0"/>
          <w:numId w:val="4"/>
        </w:numPr>
        <w:suppressLineNumbers w:val="0"/>
        <w:kinsoku/>
        <w:wordWrap/>
        <w:overflowPunct/>
        <w:topLinePunct w:val="0"/>
        <w:autoSpaceDE/>
        <w:autoSpaceDN/>
        <w:bidi w:val="0"/>
        <w:adjustRightInd/>
        <w:spacing w:before="0" w:beforeAutospacing="0" w:after="0" w:afterAutospacing="0" w:line="480" w:lineRule="exact"/>
        <w:ind w:left="0" w:right="0" w:firstLine="420"/>
        <w:textAlignment w:val="auto"/>
        <w:rPr>
          <w:rFonts w:hint="eastAsia" w:ascii="方正黑体_GBK" w:hAnsi="方正黑体_GBK" w:eastAsia="方正黑体_GBK" w:cs="方正黑体_GBK"/>
          <w:color w:val="auto"/>
          <w:sz w:val="28"/>
          <w:szCs w:val="28"/>
          <w:lang w:eastAsia="zh-CN"/>
        </w:rPr>
      </w:pPr>
      <w:r>
        <w:rPr>
          <w:rFonts w:hint="eastAsia" w:ascii="方正黑体_GBK" w:hAnsi="方正黑体_GBK" w:eastAsia="方正黑体_GBK" w:cs="方正黑体_GBK"/>
          <w:color w:val="auto"/>
          <w:sz w:val="28"/>
          <w:szCs w:val="28"/>
          <w:lang w:eastAsia="zh-CN"/>
        </w:rPr>
        <w:t>比选办法和标准</w:t>
      </w:r>
    </w:p>
    <w:p>
      <w:pPr>
        <w:pStyle w:val="10"/>
        <w:keepNext w:val="0"/>
        <w:keepLines w:val="0"/>
        <w:pageBreakBefore w:val="0"/>
        <w:widowControl/>
        <w:numPr>
          <w:ilvl w:val="0"/>
          <w:numId w:val="5"/>
        </w:numPr>
        <w:suppressLineNumbers w:val="0"/>
        <w:kinsoku/>
        <w:wordWrap/>
        <w:overflowPunct/>
        <w:topLinePunct w:val="0"/>
        <w:autoSpaceDE/>
        <w:autoSpaceDN/>
        <w:bidi w:val="0"/>
        <w:adjustRightInd/>
        <w:spacing w:before="0" w:beforeAutospacing="0" w:after="0" w:afterAutospacing="0" w:line="480" w:lineRule="exact"/>
        <w:ind w:left="420" w:leftChars="0" w:right="0" w:rightChars="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本项目采用最接近所有有效报价平均价为中标的方法，最高限价为</w:t>
      </w:r>
    </w:p>
    <w:p>
      <w:pPr>
        <w:pStyle w:val="10"/>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480" w:lineRule="exact"/>
        <w:ind w:right="0" w:rightChars="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15万元，</w:t>
      </w:r>
      <w:r>
        <w:rPr>
          <w:rFonts w:hint="eastAsia" w:ascii="方正仿宋_GBK" w:hAnsi="方正仿宋_GBK" w:eastAsia="方正仿宋_GBK" w:cs="方正仿宋_GBK"/>
          <w:color w:val="auto"/>
          <w:sz w:val="28"/>
          <w:szCs w:val="28"/>
          <w:highlight w:val="none"/>
        </w:rPr>
        <w:t>供应商</w:t>
      </w:r>
      <w:r>
        <w:rPr>
          <w:rFonts w:hint="eastAsia" w:ascii="方正仿宋_GBK" w:hAnsi="方正仿宋_GBK" w:eastAsia="方正仿宋_GBK" w:cs="方正仿宋_GBK"/>
          <w:color w:val="auto"/>
          <w:kern w:val="2"/>
          <w:sz w:val="28"/>
          <w:szCs w:val="28"/>
          <w:lang w:val="en-US" w:eastAsia="zh-CN" w:bidi="ar-SA"/>
        </w:rPr>
        <w:t>报价不得超过最高限价，否则按废标处理。</w:t>
      </w:r>
    </w:p>
    <w:p>
      <w:pPr>
        <w:pStyle w:val="10"/>
        <w:keepNext w:val="0"/>
        <w:keepLines w:val="0"/>
        <w:pageBreakBefore w:val="0"/>
        <w:widowControl/>
        <w:numPr>
          <w:ilvl w:val="0"/>
          <w:numId w:val="5"/>
        </w:numPr>
        <w:suppressLineNumbers w:val="0"/>
        <w:kinsoku/>
        <w:wordWrap/>
        <w:overflowPunct/>
        <w:topLinePunct w:val="0"/>
        <w:autoSpaceDE/>
        <w:autoSpaceDN/>
        <w:bidi w:val="0"/>
        <w:adjustRightInd/>
        <w:spacing w:before="0" w:beforeAutospacing="0" w:after="0" w:afterAutospacing="0" w:line="480" w:lineRule="exact"/>
        <w:ind w:left="420" w:leftChars="0" w:right="0" w:firstLine="0" w:firstLineChars="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在纪检人员的监督下，通过资格评审合格的有效</w:t>
      </w:r>
      <w:r>
        <w:rPr>
          <w:rFonts w:hint="eastAsia" w:ascii="方正仿宋_GBK" w:hAnsi="方正仿宋_GBK" w:eastAsia="方正仿宋_GBK" w:cs="方正仿宋_GBK"/>
          <w:color w:val="auto"/>
          <w:sz w:val="28"/>
          <w:szCs w:val="28"/>
          <w:highlight w:val="none"/>
        </w:rPr>
        <w:t>供应商</w:t>
      </w:r>
      <w:r>
        <w:rPr>
          <w:rFonts w:hint="eastAsia" w:ascii="方正仿宋_GBK" w:hAnsi="方正仿宋_GBK" w:eastAsia="方正仿宋_GBK" w:cs="方正仿宋_GBK"/>
          <w:color w:val="auto"/>
          <w:kern w:val="2"/>
          <w:sz w:val="28"/>
          <w:szCs w:val="28"/>
          <w:lang w:val="en-US" w:eastAsia="zh-CN" w:bidi="ar-SA"/>
        </w:rPr>
        <w:t>，采用最低</w:t>
      </w:r>
    </w:p>
    <w:p>
      <w:pPr>
        <w:pStyle w:val="10"/>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480" w:lineRule="exact"/>
        <w:ind w:right="0" w:rightChars="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价中标法确定</w:t>
      </w:r>
      <w:r>
        <w:rPr>
          <w:rFonts w:hint="eastAsia" w:ascii="方正仿宋_GBK" w:hAnsi="方正仿宋_GBK" w:eastAsia="方正仿宋_GBK" w:cs="方正仿宋_GBK"/>
          <w:color w:val="auto"/>
          <w:sz w:val="28"/>
          <w:szCs w:val="28"/>
          <w:highlight w:val="none"/>
        </w:rPr>
        <w:t>供应商</w:t>
      </w:r>
      <w:r>
        <w:rPr>
          <w:rFonts w:hint="eastAsia" w:ascii="方正仿宋_GBK" w:hAnsi="方正仿宋_GBK" w:eastAsia="方正仿宋_GBK" w:cs="方正仿宋_GBK"/>
          <w:color w:val="auto"/>
          <w:kern w:val="2"/>
          <w:sz w:val="28"/>
          <w:szCs w:val="28"/>
          <w:lang w:val="en-US" w:eastAsia="zh-CN" w:bidi="ar-SA"/>
        </w:rPr>
        <w:t>，若报价相同，采用抽签方式确定中选单位。若排名第一的中标人放弃中选，则确定排名第二名为中选人；若排名第二的中标人放弃中选，则本次比选流标。</w:t>
      </w:r>
      <w:bookmarkStart w:id="0" w:name="_Toc4745"/>
      <w:bookmarkStart w:id="1" w:name="_Toc1363"/>
      <w:bookmarkStart w:id="2" w:name="_Toc12680"/>
      <w:bookmarkStart w:id="3" w:name="_Toc7648"/>
      <w:bookmarkStart w:id="4" w:name="_Toc521661359"/>
    </w:p>
    <w:p>
      <w:pPr>
        <w:pStyle w:val="10"/>
        <w:keepNext w:val="0"/>
        <w:keepLines w:val="0"/>
        <w:pageBreakBefore w:val="0"/>
        <w:widowControl/>
        <w:numPr>
          <w:ilvl w:val="0"/>
          <w:numId w:val="5"/>
        </w:numPr>
        <w:suppressLineNumbers w:val="0"/>
        <w:kinsoku/>
        <w:wordWrap/>
        <w:overflowPunct/>
        <w:topLinePunct w:val="0"/>
        <w:autoSpaceDE/>
        <w:autoSpaceDN/>
        <w:bidi w:val="0"/>
        <w:adjustRightInd/>
        <w:spacing w:before="0" w:beforeAutospacing="0" w:after="0" w:afterAutospacing="0" w:line="480" w:lineRule="exact"/>
        <w:ind w:left="420" w:leftChars="0" w:right="0" w:firstLine="0" w:firstLineChars="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有效投标申请人需达到3家及以上，否则本次无效。</w:t>
      </w:r>
    </w:p>
    <w:p>
      <w:pPr>
        <w:pStyle w:val="10"/>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right="0" w:firstLine="420"/>
        <w:textAlignment w:val="auto"/>
        <w:rPr>
          <w:rFonts w:hint="eastAsia" w:ascii="方正黑体_GBK" w:hAnsi="方正黑体_GBK" w:eastAsia="方正黑体_GBK" w:cs="方正黑体_GBK"/>
          <w:color w:val="auto"/>
          <w:sz w:val="28"/>
          <w:szCs w:val="28"/>
          <w:highlight w:val="none"/>
        </w:rPr>
      </w:pPr>
      <w:r>
        <w:rPr>
          <w:rFonts w:hint="eastAsia" w:ascii="方正黑体_GBK" w:hAnsi="方正黑体_GBK" w:eastAsia="方正黑体_GBK" w:cs="方正黑体_GBK"/>
          <w:color w:val="auto"/>
          <w:sz w:val="28"/>
          <w:szCs w:val="28"/>
          <w:highlight w:val="none"/>
          <w:lang w:eastAsia="zh-CN"/>
        </w:rPr>
        <w:t>十二</w:t>
      </w:r>
      <w:r>
        <w:rPr>
          <w:rFonts w:hint="eastAsia" w:ascii="方正黑体_GBK" w:hAnsi="方正黑体_GBK" w:eastAsia="方正黑体_GBK" w:cs="方正黑体_GBK"/>
          <w:color w:val="auto"/>
          <w:sz w:val="28"/>
          <w:szCs w:val="28"/>
          <w:highlight w:val="none"/>
        </w:rPr>
        <w:t>、其它有关规定</w:t>
      </w:r>
    </w:p>
    <w:p>
      <w:pPr>
        <w:pStyle w:val="10"/>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right="0"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rPr>
        <w:t>凡有意参加询比的供应商，请于公告发布之日起至报名截止时间之前，在重庆市</w:t>
      </w:r>
      <w:r>
        <w:rPr>
          <w:rFonts w:hint="eastAsia" w:ascii="方正仿宋_GBK" w:hAnsi="方正仿宋_GBK" w:eastAsia="方正仿宋_GBK" w:cs="方正仿宋_GBK"/>
          <w:color w:val="auto"/>
          <w:sz w:val="28"/>
          <w:szCs w:val="28"/>
          <w:lang w:val="en-US" w:eastAsia="zh-CN"/>
        </w:rPr>
        <w:t>北碚区</w:t>
      </w:r>
      <w:r>
        <w:rPr>
          <w:rFonts w:hint="eastAsia" w:ascii="方正仿宋_GBK" w:hAnsi="方正仿宋_GBK" w:eastAsia="方正仿宋_GBK" w:cs="方正仿宋_GBK"/>
          <w:color w:val="auto"/>
          <w:sz w:val="28"/>
          <w:szCs w:val="28"/>
        </w:rPr>
        <w:t>政府</w:t>
      </w:r>
      <w:r>
        <w:rPr>
          <w:rFonts w:hint="eastAsia" w:ascii="方正仿宋_GBK" w:hAnsi="方正仿宋_GBK" w:eastAsia="方正仿宋_GBK" w:cs="方正仿宋_GBK"/>
          <w:color w:val="auto"/>
          <w:sz w:val="28"/>
          <w:szCs w:val="28"/>
          <w:lang w:val="en-US" w:eastAsia="zh-CN"/>
        </w:rPr>
        <w:t>网</w:t>
      </w:r>
      <w:r>
        <w:rPr>
          <w:rFonts w:hint="eastAsia" w:ascii="方正仿宋_GBK" w:hAnsi="方正仿宋_GBK" w:eastAsia="方正仿宋_GBK" w:cs="方正仿宋_GBK"/>
          <w:color w:val="auto"/>
          <w:sz w:val="28"/>
          <w:szCs w:val="28"/>
        </w:rPr>
        <w:t>下载查看本项目需求文件以及变更公告等询比前公布的所有项目资料，无论供应商下载查看与否，均视为已知晓所有询比实质性要求内容。</w:t>
      </w:r>
    </w:p>
    <w:p>
      <w:pPr>
        <w:pageBreakBefore w:val="0"/>
        <w:kinsoku/>
        <w:wordWrap/>
        <w:overflowPunct/>
        <w:topLinePunct w:val="0"/>
        <w:autoSpaceDE/>
        <w:autoSpaceDN/>
        <w:bidi w:val="0"/>
        <w:adjustRightInd/>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无论询比结果如何，供应商参与本项目的所有费用均自行承担。</w:t>
      </w:r>
    </w:p>
    <w:p>
      <w:pPr>
        <w:pageBreakBefore w:val="0"/>
        <w:kinsoku/>
        <w:wordWrap/>
        <w:overflowPunct/>
        <w:topLinePunct w:val="0"/>
        <w:autoSpaceDE/>
        <w:autoSpaceDN/>
        <w:bidi w:val="0"/>
        <w:adjustRightInd/>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3.供应商</w:t>
      </w:r>
      <w:r>
        <w:rPr>
          <w:rFonts w:hint="eastAsia" w:ascii="方正仿宋_GBK" w:hAnsi="方正仿宋_GBK" w:eastAsia="方正仿宋_GBK" w:cs="方正仿宋_GBK"/>
          <w:color w:val="auto"/>
          <w:sz w:val="28"/>
          <w:szCs w:val="28"/>
        </w:rPr>
        <w:t>任命的项目人员在</w:t>
      </w:r>
      <w:r>
        <w:rPr>
          <w:rFonts w:hint="eastAsia" w:ascii="方正仿宋_GBK" w:hAnsi="方正仿宋_GBK" w:eastAsia="方正仿宋_GBK" w:cs="方正仿宋_GBK"/>
          <w:color w:val="auto"/>
          <w:sz w:val="28"/>
          <w:szCs w:val="28"/>
          <w:lang w:eastAsia="zh-CN"/>
        </w:rPr>
        <w:t>服务</w:t>
      </w:r>
      <w:r>
        <w:rPr>
          <w:rFonts w:hint="eastAsia" w:ascii="方正仿宋_GBK" w:hAnsi="方正仿宋_GBK" w:eastAsia="方正仿宋_GBK" w:cs="方正仿宋_GBK"/>
          <w:color w:val="auto"/>
          <w:sz w:val="28"/>
          <w:szCs w:val="28"/>
        </w:rPr>
        <w:t>过程中不得变更。</w:t>
      </w:r>
    </w:p>
    <w:p>
      <w:pPr>
        <w:pageBreakBefore w:val="0"/>
        <w:kinsoku/>
        <w:wordWrap/>
        <w:overflowPunct/>
        <w:topLinePunct w:val="0"/>
        <w:autoSpaceDE/>
        <w:autoSpaceDN/>
        <w:bidi w:val="0"/>
        <w:adjustRightInd/>
        <w:spacing w:line="48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4.供应商报名时并自行踏勘现场。一旦成为成交供应商务必保证按合同实施，成交后放弃报采购平台拉入黑名单。</w:t>
      </w:r>
    </w:p>
    <w:p>
      <w:pPr>
        <w:pageBreakBefore w:val="0"/>
        <w:kinsoku/>
        <w:wordWrap/>
        <w:overflowPunct/>
        <w:topLinePunct w:val="0"/>
        <w:autoSpaceDE/>
        <w:autoSpaceDN/>
        <w:bidi w:val="0"/>
        <w:adjustRightInd/>
        <w:spacing w:line="48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5.其他未尽事宜由供需双方在采购合同中详细约定。</w:t>
      </w:r>
    </w:p>
    <w:p>
      <w:pPr>
        <w:pStyle w:val="2"/>
        <w:rPr>
          <w:rFonts w:hint="default"/>
          <w:color w:val="auto"/>
          <w:lang w:val="en-US" w:eastAsia="zh-CN"/>
        </w:rPr>
      </w:pPr>
      <w:r>
        <w:rPr>
          <w:rFonts w:hint="eastAsia" w:ascii="方正仿宋_GBK" w:hAnsi="方正仿宋_GBK" w:eastAsia="方正仿宋_GBK" w:cs="方正仿宋_GBK"/>
          <w:color w:val="auto"/>
          <w:sz w:val="28"/>
          <w:szCs w:val="28"/>
          <w:lang w:val="en-US" w:eastAsia="zh-CN"/>
        </w:rPr>
        <w:t xml:space="preserve">    6.</w:t>
      </w:r>
    </w:p>
    <w:p>
      <w:pPr>
        <w:pageBreakBefore w:val="0"/>
        <w:kinsoku/>
        <w:wordWrap/>
        <w:overflowPunct/>
        <w:topLinePunct w:val="0"/>
        <w:autoSpaceDE/>
        <w:autoSpaceDN/>
        <w:bidi w:val="0"/>
        <w:adjustRightInd/>
        <w:spacing w:line="480" w:lineRule="exact"/>
        <w:ind w:firstLine="280" w:firstLineChars="100"/>
        <w:textAlignment w:val="auto"/>
        <w:rPr>
          <w:rFonts w:hint="eastAsia" w:ascii="方正仿宋_GBK" w:hAnsi="方正仿宋_GBK" w:eastAsia="方正仿宋_GBK" w:cs="方正仿宋_GBK"/>
          <w:color w:val="auto"/>
          <w:sz w:val="28"/>
          <w:szCs w:val="28"/>
          <w:lang w:val="en-US" w:eastAsia="zh-CN"/>
        </w:rPr>
      </w:pPr>
      <w:r>
        <w:rPr>
          <w:rFonts w:hint="eastAsia" w:cs="宋体"/>
          <w:i w:val="0"/>
          <w:caps w:val="0"/>
          <w:color w:val="auto"/>
          <w:spacing w:val="0"/>
          <w:sz w:val="28"/>
          <w:szCs w:val="28"/>
          <w:highlight w:val="none"/>
          <w:shd w:val="clear" w:color="auto" w:fill="FFFFFF"/>
          <w:lang w:val="en-US" w:eastAsia="zh-CN"/>
        </w:rPr>
        <w:t xml:space="preserve"> </w:t>
      </w:r>
      <w:r>
        <w:rPr>
          <w:rFonts w:hint="eastAsia" w:ascii="方正黑体_GBK" w:hAnsi="方正黑体_GBK" w:eastAsia="方正黑体_GBK" w:cs="方正黑体_GBK"/>
          <w:color w:val="auto"/>
          <w:sz w:val="28"/>
          <w:szCs w:val="28"/>
          <w:lang w:eastAsia="zh-CN"/>
        </w:rPr>
        <w:t>十三</w:t>
      </w:r>
      <w:r>
        <w:rPr>
          <w:rFonts w:hint="eastAsia" w:ascii="方正黑体_GBK" w:hAnsi="方正黑体_GBK" w:eastAsia="方正黑体_GBK" w:cs="方正黑体_GBK"/>
          <w:color w:val="auto"/>
          <w:sz w:val="28"/>
          <w:szCs w:val="28"/>
        </w:rPr>
        <w:t>、联系人及联系电话：</w:t>
      </w:r>
      <w:r>
        <w:rPr>
          <w:rFonts w:hint="eastAsia" w:ascii="方正黑体_GBK" w:hAnsi="方正黑体_GBK" w:eastAsia="方正黑体_GBK" w:cs="方正黑体_GBK"/>
          <w:color w:val="auto"/>
          <w:sz w:val="28"/>
          <w:szCs w:val="28"/>
          <w:lang w:val="en-US" w:eastAsia="zh-CN"/>
        </w:rPr>
        <w:t xml:space="preserve"> </w:t>
      </w:r>
      <w:r>
        <w:rPr>
          <w:rFonts w:hint="eastAsia" w:ascii="方正仿宋_GBK" w:hAnsi="方正仿宋_GBK" w:eastAsia="方正仿宋_GBK" w:cs="方正仿宋_GBK"/>
          <w:color w:val="auto"/>
          <w:sz w:val="28"/>
          <w:szCs w:val="28"/>
          <w:lang w:val="en-US" w:eastAsia="zh-CN"/>
        </w:rPr>
        <w:t>黄老师  63226070</w:t>
      </w:r>
    </w:p>
    <w:p>
      <w:pPr>
        <w:jc w:val="left"/>
        <w:rPr>
          <w:rFonts w:ascii="宋体"/>
          <w:color w:val="auto"/>
          <w:sz w:val="28"/>
          <w:szCs w:val="28"/>
        </w:rPr>
      </w:pPr>
      <w:r>
        <w:rPr>
          <w:rFonts w:ascii="宋体"/>
          <w:color w:val="auto"/>
          <w:sz w:val="28"/>
          <w:szCs w:val="28"/>
        </w:rPr>
        <w:br w:type="page"/>
      </w:r>
    </w:p>
    <w:p>
      <w:pPr>
        <w:jc w:val="center"/>
        <w:outlineLvl w:val="0"/>
        <w:rPr>
          <w:rFonts w:ascii="黑体" w:hAnsi="黑体" w:eastAsia="黑体" w:cs="黑体"/>
          <w:b/>
          <w:bCs/>
          <w:color w:val="auto"/>
          <w:spacing w:val="80"/>
          <w:sz w:val="44"/>
          <w:szCs w:val="44"/>
          <w:highlight w:val="none"/>
        </w:rPr>
      </w:pPr>
      <w:r>
        <w:rPr>
          <w:rFonts w:hint="eastAsia" w:ascii="黑体" w:hAnsi="黑体" w:eastAsia="黑体" w:cs="黑体"/>
          <w:b/>
          <w:bCs/>
          <w:color w:val="auto"/>
          <w:spacing w:val="80"/>
          <w:sz w:val="44"/>
          <w:szCs w:val="44"/>
          <w:highlight w:val="none"/>
        </w:rPr>
        <w:t>供应商编制响应文件要求</w:t>
      </w:r>
    </w:p>
    <w:p>
      <w:pPr>
        <w:pStyle w:val="3"/>
        <w:spacing w:before="0" w:after="0" w:line="312" w:lineRule="auto"/>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报价</w:t>
      </w:r>
    </w:p>
    <w:p>
      <w:pPr>
        <w:tabs>
          <w:tab w:val="left" w:pos="6300"/>
        </w:tabs>
        <w:snapToGrid w:val="0"/>
        <w:spacing w:line="312"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（一）报价函</w:t>
      </w:r>
    </w:p>
    <w:p>
      <w:pPr>
        <w:spacing w:line="312" w:lineRule="auto"/>
        <w:jc w:val="center"/>
        <w:rPr>
          <w:rFonts w:ascii="宋体" w:hAnsi="宋体" w:cs="宋体"/>
          <w:b/>
          <w:iCs/>
          <w:color w:val="auto"/>
          <w:sz w:val="32"/>
          <w:szCs w:val="24"/>
          <w:highlight w:val="none"/>
        </w:rPr>
      </w:pPr>
      <w:r>
        <w:rPr>
          <w:rFonts w:hint="eastAsia" w:ascii="宋体" w:hAnsi="宋体" w:cs="宋体"/>
          <w:b/>
          <w:iCs/>
          <w:color w:val="auto"/>
          <w:sz w:val="32"/>
          <w:szCs w:val="24"/>
          <w:highlight w:val="none"/>
        </w:rPr>
        <w:t>报价函</w:t>
      </w:r>
    </w:p>
    <w:p>
      <w:pPr>
        <w:tabs>
          <w:tab w:val="left" w:pos="6300"/>
        </w:tabs>
        <w:snapToGrid w:val="0"/>
        <w:spacing w:line="360" w:lineRule="auto"/>
        <w:rPr>
          <w:rFonts w:ascii="宋体"/>
          <w:color w:val="auto"/>
          <w:sz w:val="24"/>
          <w:szCs w:val="24"/>
          <w:highlight w:val="none"/>
        </w:rPr>
      </w:pPr>
      <w:r>
        <w:rPr>
          <w:rFonts w:hint="eastAsia" w:ascii="宋体" w:hAnsi="宋体" w:cs="宋体"/>
          <w:color w:val="auto"/>
          <w:sz w:val="24"/>
          <w:szCs w:val="24"/>
          <w:highlight w:val="none"/>
          <w:u w:val="single"/>
        </w:rPr>
        <w:t>（采购人名称）</w:t>
      </w:r>
      <w:r>
        <w:rPr>
          <w:rFonts w:hint="eastAsia" w:ascii="宋体" w:hAnsi="宋体" w:cs="宋体"/>
          <w:color w:val="auto"/>
          <w:sz w:val="24"/>
          <w:szCs w:val="24"/>
          <w:highlight w:val="none"/>
        </w:rPr>
        <w:t>：</w:t>
      </w:r>
    </w:p>
    <w:p>
      <w:pPr>
        <w:tabs>
          <w:tab w:val="left" w:pos="6300"/>
        </w:tabs>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我方收到</w:t>
      </w:r>
      <w:r>
        <w:rPr>
          <w:rFonts w:ascii="宋体" w:hAnsi="宋体" w:cs="宋体"/>
          <w:color w:val="auto"/>
          <w:sz w:val="24"/>
          <w:szCs w:val="24"/>
          <w:highlight w:val="none"/>
        </w:rPr>
        <w:t>____________________________</w:t>
      </w:r>
      <w:r>
        <w:rPr>
          <w:rFonts w:hint="eastAsia" w:ascii="宋体" w:hAnsi="宋体" w:cs="宋体"/>
          <w:color w:val="auto"/>
          <w:sz w:val="24"/>
          <w:szCs w:val="24"/>
          <w:highlight w:val="none"/>
        </w:rPr>
        <w:t>（项目名称）的询比采购文件，经详细研究，决定参加该项目的询比。</w:t>
      </w:r>
    </w:p>
    <w:p>
      <w:pPr>
        <w:tabs>
          <w:tab w:val="left" w:pos="6300"/>
        </w:tabs>
        <w:snapToGrid w:val="0"/>
        <w:spacing w:line="360" w:lineRule="auto"/>
        <w:ind w:left="10" w:leftChars="5" w:firstLine="458" w:firstLineChars="191"/>
        <w:jc w:val="left"/>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、愿意按照询比采购文件中的一切要求，提供本项目的技术服务，报价为人民币</w:t>
      </w:r>
      <w:r>
        <w:rPr>
          <w:rFonts w:hint="eastAsia" w:ascii="宋体" w:hAnsi="宋体" w:cs="宋体"/>
          <w:color w:val="auto"/>
          <w:sz w:val="24"/>
          <w:szCs w:val="24"/>
          <w:highlight w:val="none"/>
          <w:u w:val="single"/>
        </w:rPr>
        <w:t>大写：</w:t>
      </w:r>
      <w:r>
        <w:rPr>
          <w:rFonts w:hint="eastAsia" w:ascii="宋体" w:hAnsi="宋体" w:cs="宋体"/>
          <w:color w:val="auto"/>
          <w:sz w:val="24"/>
          <w:szCs w:val="24"/>
          <w:highlight w:val="none"/>
          <w:u w:val="single"/>
          <w:lang w:val="en-US" w:eastAsia="zh-CN"/>
        </w:rPr>
        <w:t xml:space="preserve">        万</w:t>
      </w:r>
      <w:r>
        <w:rPr>
          <w:rFonts w:hint="eastAsia" w:ascii="宋体" w:hAnsi="宋体" w:cs="宋体"/>
          <w:color w:val="auto"/>
          <w:sz w:val="24"/>
          <w:szCs w:val="24"/>
          <w:highlight w:val="none"/>
          <w:u w:val="single"/>
        </w:rPr>
        <w:t>元整</w:t>
      </w:r>
      <w:r>
        <w:rPr>
          <w:rFonts w:hint="eastAsia" w:ascii="宋体" w:hAnsi="宋体" w:cs="宋体"/>
          <w:color w:val="auto"/>
          <w:sz w:val="24"/>
          <w:szCs w:val="24"/>
          <w:highlight w:val="none"/>
        </w:rPr>
        <w:t>；人民币</w:t>
      </w:r>
      <w:r>
        <w:rPr>
          <w:rFonts w:hint="eastAsia" w:ascii="宋体" w:hAnsi="宋体" w:cs="宋体"/>
          <w:color w:val="auto"/>
          <w:sz w:val="24"/>
          <w:szCs w:val="24"/>
          <w:highlight w:val="none"/>
          <w:u w:val="single"/>
        </w:rPr>
        <w:t>小写：</w:t>
      </w:r>
      <w:r>
        <w:rPr>
          <w:rFonts w:hint="eastAsia" w:ascii="宋体" w:hAnsi="宋体" w:cs="宋体"/>
          <w:color w:val="auto"/>
          <w:sz w:val="24"/>
          <w:szCs w:val="24"/>
          <w:highlight w:val="none"/>
          <w:u w:val="single"/>
          <w:lang w:val="en-US" w:eastAsia="zh-CN"/>
        </w:rPr>
        <w:t xml:space="preserve">         万</w:t>
      </w:r>
      <w:r>
        <w:rPr>
          <w:rFonts w:hint="eastAsia" w:ascii="宋体" w:hAnsi="宋体" w:cs="宋体"/>
          <w:color w:val="auto"/>
          <w:sz w:val="24"/>
          <w:szCs w:val="24"/>
          <w:highlight w:val="none"/>
          <w:u w:val="single"/>
        </w:rPr>
        <w:t>元</w:t>
      </w:r>
      <w:r>
        <w:rPr>
          <w:rFonts w:hint="eastAsia" w:ascii="宋体" w:hAnsi="宋体" w:cs="宋体"/>
          <w:color w:val="auto"/>
          <w:sz w:val="24"/>
          <w:szCs w:val="24"/>
          <w:highlight w:val="none"/>
        </w:rPr>
        <w:t>。</w:t>
      </w:r>
    </w:p>
    <w:p>
      <w:pPr>
        <w:tabs>
          <w:tab w:val="left" w:pos="6300"/>
        </w:tabs>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、我方现提交的响应文件为：响应文件电子文档壹份。</w:t>
      </w:r>
    </w:p>
    <w:p>
      <w:pPr>
        <w:tabs>
          <w:tab w:val="left" w:pos="6300"/>
        </w:tabs>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、我方承诺：本次询比的有效期为</w:t>
      </w:r>
      <w:r>
        <w:rPr>
          <w:rFonts w:hint="eastAsia" w:ascii="宋体" w:hAnsi="宋体" w:cs="宋体"/>
          <w:color w:val="auto"/>
          <w:sz w:val="24"/>
          <w:szCs w:val="24"/>
          <w:highlight w:val="none"/>
          <w:lang w:val="en-US" w:eastAsia="zh-CN"/>
        </w:rPr>
        <w:t>90</w:t>
      </w:r>
      <w:r>
        <w:rPr>
          <w:rFonts w:hint="eastAsia" w:ascii="宋体" w:hAnsi="宋体" w:cs="宋体"/>
          <w:color w:val="auto"/>
          <w:sz w:val="24"/>
          <w:szCs w:val="24"/>
          <w:highlight w:val="none"/>
        </w:rPr>
        <w:t>天。</w:t>
      </w:r>
    </w:p>
    <w:p>
      <w:pPr>
        <w:tabs>
          <w:tab w:val="left" w:pos="6300"/>
        </w:tabs>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、我方完全理解和接受贵方询比采购文件的一切规定和要求及评审办法。</w:t>
      </w:r>
    </w:p>
    <w:p>
      <w:pPr>
        <w:tabs>
          <w:tab w:val="left" w:pos="6300"/>
        </w:tabs>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、在整个询比采购过程中，我方若有违规行为，接受按照重庆市</w:t>
      </w:r>
      <w:r>
        <w:rPr>
          <w:rFonts w:hint="eastAsia" w:ascii="宋体" w:hAnsi="宋体" w:cs="宋体"/>
          <w:color w:val="auto"/>
          <w:sz w:val="24"/>
          <w:szCs w:val="24"/>
          <w:highlight w:val="none"/>
          <w:lang w:val="en-US" w:eastAsia="zh-CN"/>
        </w:rPr>
        <w:t>北碚区</w:t>
      </w:r>
      <w:r>
        <w:rPr>
          <w:rFonts w:hint="eastAsia" w:ascii="宋体" w:hAnsi="宋体" w:cs="宋体"/>
          <w:color w:val="auto"/>
          <w:sz w:val="24"/>
          <w:szCs w:val="24"/>
          <w:highlight w:val="none"/>
        </w:rPr>
        <w:t>政府采购云平台规定给予惩罚。</w:t>
      </w:r>
    </w:p>
    <w:p>
      <w:pPr>
        <w:tabs>
          <w:tab w:val="left" w:pos="6300"/>
        </w:tabs>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、我方理解，最低报价不是成交的唯一条件。</w:t>
      </w:r>
    </w:p>
    <w:p>
      <w:pPr>
        <w:tabs>
          <w:tab w:val="left" w:pos="6300"/>
        </w:tabs>
        <w:snapToGrid w:val="0"/>
        <w:spacing w:line="360" w:lineRule="auto"/>
        <w:ind w:firstLine="570"/>
        <w:rPr>
          <w:rFonts w:ascii="宋体"/>
          <w:color w:val="auto"/>
          <w:sz w:val="24"/>
          <w:szCs w:val="24"/>
          <w:highlight w:val="none"/>
        </w:rPr>
      </w:pPr>
    </w:p>
    <w:p>
      <w:pPr>
        <w:tabs>
          <w:tab w:val="left" w:pos="6300"/>
        </w:tabs>
        <w:snapToGrid w:val="0"/>
        <w:spacing w:line="360" w:lineRule="auto"/>
        <w:ind w:firstLine="570"/>
        <w:rPr>
          <w:rFonts w:ascii="宋体"/>
          <w:color w:val="auto"/>
          <w:sz w:val="24"/>
          <w:szCs w:val="24"/>
          <w:highlight w:val="none"/>
        </w:rPr>
      </w:pPr>
    </w:p>
    <w:p>
      <w:pPr>
        <w:tabs>
          <w:tab w:val="left" w:pos="6300"/>
        </w:tabs>
        <w:snapToGrid w:val="0"/>
        <w:spacing w:line="360" w:lineRule="auto"/>
        <w:ind w:firstLine="570"/>
        <w:rPr>
          <w:rFonts w:ascii="宋体"/>
          <w:color w:val="auto"/>
          <w:sz w:val="24"/>
          <w:szCs w:val="24"/>
          <w:highlight w:val="none"/>
        </w:rPr>
      </w:pPr>
    </w:p>
    <w:p>
      <w:pPr>
        <w:tabs>
          <w:tab w:val="left" w:pos="6300"/>
        </w:tabs>
        <w:snapToGrid w:val="0"/>
        <w:spacing w:line="360" w:lineRule="auto"/>
        <w:ind w:firstLine="570"/>
        <w:rPr>
          <w:rFonts w:ascii="宋体"/>
          <w:color w:val="auto"/>
          <w:sz w:val="24"/>
          <w:szCs w:val="24"/>
          <w:highlight w:val="none"/>
        </w:rPr>
      </w:pPr>
    </w:p>
    <w:p>
      <w:pPr>
        <w:tabs>
          <w:tab w:val="left" w:pos="6300"/>
        </w:tabs>
        <w:snapToGrid w:val="0"/>
        <w:spacing w:line="360" w:lineRule="auto"/>
        <w:ind w:firstLine="5208" w:firstLineChars="2170"/>
        <w:rPr>
          <w:rFonts w:ascii="宋体"/>
          <w:color w:val="auto"/>
          <w:sz w:val="24"/>
          <w:szCs w:val="24"/>
          <w:highlight w:val="none"/>
        </w:rPr>
      </w:pPr>
      <w:r>
        <w:rPr>
          <w:rFonts w:hint="eastAsia" w:ascii="宋体" w:hAnsi="宋体" w:cs="宋体"/>
          <w:color w:val="auto"/>
          <w:sz w:val="24"/>
          <w:szCs w:val="24"/>
          <w:highlight w:val="none"/>
        </w:rPr>
        <w:t>供应商名称（公章）：</w:t>
      </w:r>
    </w:p>
    <w:p>
      <w:pPr>
        <w:spacing w:line="312" w:lineRule="auto"/>
        <w:ind w:firstLine="5520" w:firstLineChars="2300"/>
        <w:rPr>
          <w:rFonts w:hint="eastAsia" w:ascii="宋体" w:hAnsi="宋体" w:cs="宋体"/>
          <w:color w:val="auto"/>
          <w:sz w:val="24"/>
          <w:szCs w:val="24"/>
          <w:highlight w:val="none"/>
        </w:rPr>
      </w:pP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p>
    <w:p>
      <w:pPr>
        <w:pStyle w:val="2"/>
        <w:rPr>
          <w:rFonts w:hint="eastAsia" w:ascii="宋体" w:hAnsi="宋体" w:cs="宋体"/>
          <w:color w:val="auto"/>
          <w:sz w:val="24"/>
          <w:szCs w:val="24"/>
          <w:highlight w:val="none"/>
        </w:rPr>
      </w:pPr>
    </w:p>
    <w:p>
      <w:pPr>
        <w:pStyle w:val="9"/>
        <w:rPr>
          <w:rFonts w:hint="eastAsia" w:ascii="宋体" w:hAnsi="宋体" w:cs="宋体"/>
          <w:color w:val="auto"/>
          <w:sz w:val="24"/>
          <w:szCs w:val="24"/>
          <w:highlight w:val="none"/>
        </w:rPr>
      </w:pPr>
    </w:p>
    <w:p>
      <w:pPr>
        <w:pStyle w:val="9"/>
        <w:rPr>
          <w:rFonts w:hint="eastAsia" w:ascii="宋体" w:hAnsi="宋体" w:cs="宋体"/>
          <w:color w:val="auto"/>
          <w:sz w:val="24"/>
          <w:szCs w:val="24"/>
          <w:highlight w:val="none"/>
        </w:rPr>
      </w:pPr>
    </w:p>
    <w:p>
      <w:pPr>
        <w:pStyle w:val="9"/>
        <w:rPr>
          <w:rFonts w:hint="eastAsia" w:ascii="宋体" w:hAnsi="宋体" w:cs="宋体"/>
          <w:color w:val="auto"/>
          <w:sz w:val="24"/>
          <w:szCs w:val="24"/>
          <w:highlight w:val="none"/>
        </w:rPr>
      </w:pPr>
    </w:p>
    <w:p>
      <w:pPr>
        <w:pStyle w:val="9"/>
        <w:rPr>
          <w:rFonts w:hint="eastAsia" w:ascii="宋体" w:hAnsi="宋体" w:cs="宋体"/>
          <w:color w:val="auto"/>
          <w:sz w:val="24"/>
          <w:szCs w:val="24"/>
          <w:highlight w:val="none"/>
        </w:rPr>
      </w:pPr>
    </w:p>
    <w:p>
      <w:pPr>
        <w:pStyle w:val="9"/>
        <w:rPr>
          <w:rFonts w:hint="eastAsia" w:ascii="宋体" w:hAnsi="宋体" w:cs="宋体"/>
          <w:color w:val="auto"/>
          <w:sz w:val="24"/>
          <w:szCs w:val="24"/>
          <w:highlight w:val="none"/>
        </w:rPr>
      </w:pPr>
    </w:p>
    <w:p>
      <w:pPr>
        <w:pStyle w:val="9"/>
        <w:rPr>
          <w:rFonts w:hint="eastAsia" w:ascii="宋体" w:hAnsi="宋体" w:cs="宋体"/>
          <w:color w:val="auto"/>
          <w:sz w:val="24"/>
          <w:szCs w:val="24"/>
          <w:highlight w:val="none"/>
        </w:rPr>
      </w:pPr>
    </w:p>
    <w:p>
      <w:pPr>
        <w:tabs>
          <w:tab w:val="left" w:pos="2895"/>
        </w:tabs>
        <w:spacing w:line="312" w:lineRule="auto"/>
        <w:ind w:firstLine="480" w:firstLineChars="200"/>
        <w:rPr>
          <w:color w:val="auto"/>
          <w:sz w:val="24"/>
          <w:szCs w:val="24"/>
          <w:highlight w:val="none"/>
        </w:rPr>
      </w:pPr>
      <w:r>
        <w:rPr>
          <w:color w:val="auto"/>
          <w:sz w:val="24"/>
          <w:szCs w:val="24"/>
          <w:highlight w:val="none"/>
        </w:rPr>
        <w:t>（二）明细报价表</w:t>
      </w:r>
    </w:p>
    <w:p>
      <w:pPr>
        <w:tabs>
          <w:tab w:val="left" w:pos="2975"/>
          <w:tab w:val="center" w:pos="4765"/>
        </w:tabs>
        <w:spacing w:line="312" w:lineRule="auto"/>
        <w:jc w:val="left"/>
        <w:rPr>
          <w:b/>
          <w:color w:val="auto"/>
          <w:szCs w:val="28"/>
          <w:highlight w:val="none"/>
        </w:rPr>
      </w:pPr>
      <w:r>
        <w:rPr>
          <w:b/>
          <w:color w:val="auto"/>
          <w:szCs w:val="28"/>
          <w:highlight w:val="none"/>
        </w:rPr>
        <w:tab/>
      </w:r>
      <w:r>
        <w:rPr>
          <w:b/>
          <w:color w:val="auto"/>
          <w:szCs w:val="28"/>
          <w:highlight w:val="none"/>
        </w:rPr>
        <w:tab/>
      </w:r>
      <w:r>
        <w:rPr>
          <w:b/>
          <w:color w:val="auto"/>
          <w:szCs w:val="28"/>
          <w:highlight w:val="none"/>
        </w:rPr>
        <w:t>明细报价表</w:t>
      </w:r>
    </w:p>
    <w:tbl>
      <w:tblPr>
        <w:tblStyle w:val="11"/>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pPr>
              <w:jc w:val="center"/>
              <w:rPr>
                <w:b/>
                <w:color w:val="auto"/>
                <w:sz w:val="21"/>
                <w:szCs w:val="21"/>
                <w:highlight w:val="none"/>
              </w:rPr>
            </w:pPr>
            <w:r>
              <w:rPr>
                <w:b/>
                <w:color w:val="auto"/>
                <w:sz w:val="21"/>
                <w:szCs w:val="21"/>
                <w:highlight w:val="none"/>
              </w:rPr>
              <w:t>序号</w:t>
            </w:r>
          </w:p>
        </w:tc>
        <w:tc>
          <w:tcPr>
            <w:tcW w:w="1695" w:type="dxa"/>
            <w:vAlign w:val="center"/>
          </w:tcPr>
          <w:p>
            <w:pPr>
              <w:jc w:val="center"/>
              <w:rPr>
                <w:b/>
                <w:color w:val="auto"/>
                <w:sz w:val="21"/>
                <w:szCs w:val="21"/>
                <w:highlight w:val="none"/>
              </w:rPr>
            </w:pPr>
            <w:r>
              <w:rPr>
                <w:b/>
                <w:color w:val="auto"/>
                <w:sz w:val="21"/>
                <w:szCs w:val="21"/>
                <w:highlight w:val="none"/>
              </w:rPr>
              <w:t>名称</w:t>
            </w:r>
          </w:p>
        </w:tc>
        <w:tc>
          <w:tcPr>
            <w:tcW w:w="3404" w:type="dxa"/>
            <w:vAlign w:val="center"/>
          </w:tcPr>
          <w:p>
            <w:pPr>
              <w:jc w:val="center"/>
              <w:rPr>
                <w:b/>
                <w:color w:val="auto"/>
                <w:sz w:val="21"/>
                <w:szCs w:val="21"/>
                <w:highlight w:val="none"/>
              </w:rPr>
            </w:pPr>
            <w:r>
              <w:rPr>
                <w:b/>
                <w:color w:val="auto"/>
                <w:sz w:val="21"/>
                <w:szCs w:val="21"/>
                <w:highlight w:val="none"/>
              </w:rPr>
              <w:t>相关信息</w:t>
            </w:r>
          </w:p>
        </w:tc>
        <w:tc>
          <w:tcPr>
            <w:tcW w:w="1344" w:type="dxa"/>
            <w:vAlign w:val="center"/>
          </w:tcPr>
          <w:p>
            <w:pPr>
              <w:jc w:val="center"/>
              <w:rPr>
                <w:b/>
                <w:color w:val="auto"/>
                <w:sz w:val="21"/>
                <w:szCs w:val="21"/>
                <w:highlight w:val="none"/>
              </w:rPr>
            </w:pPr>
            <w:r>
              <w:rPr>
                <w:b/>
                <w:color w:val="auto"/>
                <w:sz w:val="21"/>
                <w:szCs w:val="21"/>
                <w:highlight w:val="none"/>
              </w:rPr>
              <w:t>数量</w:t>
            </w:r>
          </w:p>
        </w:tc>
        <w:tc>
          <w:tcPr>
            <w:tcW w:w="1344" w:type="dxa"/>
            <w:vAlign w:val="center"/>
          </w:tcPr>
          <w:p>
            <w:pPr>
              <w:jc w:val="center"/>
              <w:rPr>
                <w:b/>
                <w:color w:val="auto"/>
                <w:sz w:val="21"/>
                <w:szCs w:val="21"/>
                <w:highlight w:val="none"/>
              </w:rPr>
            </w:pPr>
            <w:r>
              <w:rPr>
                <w:b/>
                <w:color w:val="auto"/>
                <w:sz w:val="21"/>
                <w:szCs w:val="21"/>
                <w:highlight w:val="none"/>
              </w:rPr>
              <w:t>单价</w:t>
            </w:r>
          </w:p>
        </w:tc>
        <w:tc>
          <w:tcPr>
            <w:tcW w:w="1344" w:type="dxa"/>
            <w:vAlign w:val="center"/>
          </w:tcPr>
          <w:p>
            <w:pPr>
              <w:jc w:val="center"/>
              <w:rPr>
                <w:b/>
                <w:color w:val="auto"/>
                <w:sz w:val="21"/>
                <w:szCs w:val="21"/>
                <w:highlight w:val="none"/>
              </w:rPr>
            </w:pPr>
            <w:r>
              <w:rPr>
                <w:b/>
                <w:color w:val="auto"/>
                <w:sz w:val="21"/>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4"/>
              <w:spacing w:line="240" w:lineRule="auto"/>
              <w:ind w:left="3920"/>
              <w:jc w:val="center"/>
              <w:outlineLvl w:val="0"/>
              <w:rPr>
                <w:color w:val="auto"/>
                <w:sz w:val="21"/>
                <w:szCs w:val="21"/>
                <w:highlight w:val="none"/>
              </w:rPr>
            </w:pPr>
            <w:r>
              <w:rPr>
                <w:color w:val="auto"/>
                <w:sz w:val="21"/>
                <w:szCs w:val="21"/>
                <w:highlight w:val="none"/>
              </w:rPr>
              <w:t>2111</w:t>
            </w:r>
          </w:p>
        </w:tc>
        <w:tc>
          <w:tcPr>
            <w:tcW w:w="1695" w:type="dxa"/>
            <w:vAlign w:val="center"/>
          </w:tcPr>
          <w:p>
            <w:pPr>
              <w:jc w:val="center"/>
              <w:rPr>
                <w:color w:val="auto"/>
                <w:sz w:val="21"/>
                <w:szCs w:val="21"/>
                <w:highlight w:val="none"/>
              </w:rPr>
            </w:pPr>
          </w:p>
        </w:tc>
        <w:tc>
          <w:tcPr>
            <w:tcW w:w="3404" w:type="dxa"/>
            <w:vAlign w:val="top"/>
          </w:tcPr>
          <w:p>
            <w:pPr>
              <w:jc w:val="center"/>
              <w:rPr>
                <w:color w:val="auto"/>
                <w:sz w:val="21"/>
                <w:szCs w:val="21"/>
                <w:highlight w:val="none"/>
              </w:rPr>
            </w:pPr>
          </w:p>
        </w:tc>
        <w:tc>
          <w:tcPr>
            <w:tcW w:w="1344" w:type="dxa"/>
            <w:vAlign w:val="center"/>
          </w:tcPr>
          <w:p>
            <w:pPr>
              <w:jc w:val="center"/>
              <w:rPr>
                <w:color w:val="auto"/>
                <w:sz w:val="21"/>
                <w:szCs w:val="21"/>
                <w:highlight w:val="none"/>
              </w:rPr>
            </w:pPr>
          </w:p>
        </w:tc>
        <w:tc>
          <w:tcPr>
            <w:tcW w:w="1344" w:type="dxa"/>
            <w:vAlign w:val="top"/>
          </w:tcPr>
          <w:p>
            <w:pPr>
              <w:jc w:val="center"/>
              <w:rPr>
                <w:color w:val="auto"/>
                <w:sz w:val="21"/>
                <w:szCs w:val="21"/>
                <w:highlight w:val="none"/>
              </w:rPr>
            </w:pPr>
          </w:p>
        </w:tc>
        <w:tc>
          <w:tcPr>
            <w:tcW w:w="1344" w:type="dxa"/>
            <w:vAlign w:val="top"/>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4"/>
              <w:spacing w:line="240" w:lineRule="auto"/>
              <w:ind w:left="3920"/>
              <w:jc w:val="center"/>
              <w:outlineLvl w:val="0"/>
              <w:rPr>
                <w:color w:val="auto"/>
                <w:sz w:val="21"/>
                <w:szCs w:val="21"/>
                <w:highlight w:val="none"/>
              </w:rPr>
            </w:pPr>
            <w:r>
              <w:rPr>
                <w:color w:val="auto"/>
                <w:sz w:val="21"/>
                <w:szCs w:val="21"/>
                <w:highlight w:val="none"/>
              </w:rPr>
              <w:t>22</w:t>
            </w:r>
          </w:p>
        </w:tc>
        <w:tc>
          <w:tcPr>
            <w:tcW w:w="1695" w:type="dxa"/>
            <w:vAlign w:val="center"/>
          </w:tcPr>
          <w:p>
            <w:pPr>
              <w:jc w:val="center"/>
              <w:rPr>
                <w:color w:val="auto"/>
                <w:sz w:val="21"/>
                <w:szCs w:val="21"/>
                <w:highlight w:val="none"/>
              </w:rPr>
            </w:pPr>
          </w:p>
        </w:tc>
        <w:tc>
          <w:tcPr>
            <w:tcW w:w="3404" w:type="dxa"/>
            <w:vAlign w:val="top"/>
          </w:tcPr>
          <w:p>
            <w:pPr>
              <w:jc w:val="center"/>
              <w:rPr>
                <w:color w:val="auto"/>
                <w:sz w:val="21"/>
                <w:szCs w:val="21"/>
                <w:highlight w:val="none"/>
              </w:rPr>
            </w:pPr>
          </w:p>
        </w:tc>
        <w:tc>
          <w:tcPr>
            <w:tcW w:w="1344" w:type="dxa"/>
            <w:vAlign w:val="center"/>
          </w:tcPr>
          <w:p>
            <w:pPr>
              <w:jc w:val="center"/>
              <w:rPr>
                <w:color w:val="auto"/>
                <w:sz w:val="21"/>
                <w:szCs w:val="21"/>
                <w:highlight w:val="none"/>
              </w:rPr>
            </w:pPr>
          </w:p>
        </w:tc>
        <w:tc>
          <w:tcPr>
            <w:tcW w:w="1344" w:type="dxa"/>
            <w:vAlign w:val="top"/>
          </w:tcPr>
          <w:p>
            <w:pPr>
              <w:jc w:val="center"/>
              <w:rPr>
                <w:color w:val="auto"/>
                <w:sz w:val="21"/>
                <w:szCs w:val="21"/>
                <w:highlight w:val="none"/>
              </w:rPr>
            </w:pPr>
          </w:p>
        </w:tc>
        <w:tc>
          <w:tcPr>
            <w:tcW w:w="1344" w:type="dxa"/>
            <w:vAlign w:val="top"/>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4"/>
              <w:spacing w:line="240" w:lineRule="auto"/>
              <w:ind w:left="3920"/>
              <w:jc w:val="center"/>
              <w:outlineLvl w:val="0"/>
              <w:rPr>
                <w:color w:val="auto"/>
                <w:sz w:val="21"/>
                <w:szCs w:val="21"/>
                <w:highlight w:val="none"/>
              </w:rPr>
            </w:pPr>
            <w:r>
              <w:rPr>
                <w:color w:val="auto"/>
                <w:sz w:val="21"/>
                <w:szCs w:val="21"/>
                <w:highlight w:val="none"/>
              </w:rPr>
              <w:t>13</w:t>
            </w:r>
          </w:p>
        </w:tc>
        <w:tc>
          <w:tcPr>
            <w:tcW w:w="1695" w:type="dxa"/>
            <w:vAlign w:val="center"/>
          </w:tcPr>
          <w:p>
            <w:pPr>
              <w:jc w:val="center"/>
              <w:rPr>
                <w:color w:val="auto"/>
                <w:sz w:val="21"/>
                <w:szCs w:val="21"/>
                <w:highlight w:val="none"/>
              </w:rPr>
            </w:pPr>
          </w:p>
        </w:tc>
        <w:tc>
          <w:tcPr>
            <w:tcW w:w="3404" w:type="dxa"/>
            <w:vAlign w:val="top"/>
          </w:tcPr>
          <w:p>
            <w:pPr>
              <w:jc w:val="center"/>
              <w:rPr>
                <w:color w:val="auto"/>
                <w:sz w:val="21"/>
                <w:szCs w:val="21"/>
                <w:highlight w:val="none"/>
              </w:rPr>
            </w:pPr>
          </w:p>
        </w:tc>
        <w:tc>
          <w:tcPr>
            <w:tcW w:w="1344" w:type="dxa"/>
            <w:vAlign w:val="center"/>
          </w:tcPr>
          <w:p>
            <w:pPr>
              <w:jc w:val="center"/>
              <w:rPr>
                <w:color w:val="auto"/>
                <w:sz w:val="21"/>
                <w:szCs w:val="21"/>
                <w:highlight w:val="none"/>
              </w:rPr>
            </w:pPr>
          </w:p>
        </w:tc>
        <w:tc>
          <w:tcPr>
            <w:tcW w:w="1344" w:type="dxa"/>
            <w:vAlign w:val="top"/>
          </w:tcPr>
          <w:p>
            <w:pPr>
              <w:jc w:val="center"/>
              <w:rPr>
                <w:color w:val="auto"/>
                <w:sz w:val="21"/>
                <w:szCs w:val="21"/>
                <w:highlight w:val="none"/>
              </w:rPr>
            </w:pPr>
          </w:p>
        </w:tc>
        <w:tc>
          <w:tcPr>
            <w:tcW w:w="1344" w:type="dxa"/>
            <w:vAlign w:val="top"/>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4"/>
              <w:spacing w:line="240" w:lineRule="auto"/>
              <w:ind w:left="3920"/>
              <w:jc w:val="center"/>
              <w:outlineLvl w:val="0"/>
              <w:rPr>
                <w:color w:val="auto"/>
                <w:sz w:val="21"/>
                <w:szCs w:val="21"/>
                <w:highlight w:val="none"/>
              </w:rPr>
            </w:pPr>
            <w:r>
              <w:rPr>
                <w:color w:val="auto"/>
                <w:sz w:val="21"/>
                <w:szCs w:val="21"/>
                <w:highlight w:val="none"/>
              </w:rPr>
              <w:t>4</w:t>
            </w:r>
          </w:p>
        </w:tc>
        <w:tc>
          <w:tcPr>
            <w:tcW w:w="1695" w:type="dxa"/>
            <w:vAlign w:val="center"/>
          </w:tcPr>
          <w:p>
            <w:pPr>
              <w:jc w:val="center"/>
              <w:rPr>
                <w:color w:val="auto"/>
                <w:sz w:val="21"/>
                <w:szCs w:val="21"/>
                <w:highlight w:val="none"/>
              </w:rPr>
            </w:pPr>
          </w:p>
        </w:tc>
        <w:tc>
          <w:tcPr>
            <w:tcW w:w="3404" w:type="dxa"/>
            <w:vAlign w:val="top"/>
          </w:tcPr>
          <w:p>
            <w:pPr>
              <w:jc w:val="center"/>
              <w:rPr>
                <w:color w:val="auto"/>
                <w:sz w:val="21"/>
                <w:szCs w:val="21"/>
                <w:highlight w:val="none"/>
              </w:rPr>
            </w:pPr>
          </w:p>
        </w:tc>
        <w:tc>
          <w:tcPr>
            <w:tcW w:w="1344" w:type="dxa"/>
            <w:vAlign w:val="center"/>
          </w:tcPr>
          <w:p>
            <w:pPr>
              <w:jc w:val="center"/>
              <w:rPr>
                <w:color w:val="auto"/>
                <w:sz w:val="21"/>
                <w:szCs w:val="21"/>
                <w:highlight w:val="none"/>
              </w:rPr>
            </w:pPr>
          </w:p>
        </w:tc>
        <w:tc>
          <w:tcPr>
            <w:tcW w:w="1344" w:type="dxa"/>
            <w:vAlign w:val="top"/>
          </w:tcPr>
          <w:p>
            <w:pPr>
              <w:jc w:val="center"/>
              <w:rPr>
                <w:color w:val="auto"/>
                <w:sz w:val="21"/>
                <w:szCs w:val="21"/>
                <w:highlight w:val="none"/>
              </w:rPr>
            </w:pPr>
          </w:p>
        </w:tc>
        <w:tc>
          <w:tcPr>
            <w:tcW w:w="1344" w:type="dxa"/>
            <w:vAlign w:val="top"/>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4"/>
              <w:spacing w:line="240" w:lineRule="auto"/>
              <w:ind w:left="3920"/>
              <w:jc w:val="center"/>
              <w:outlineLvl w:val="0"/>
              <w:rPr>
                <w:color w:val="auto"/>
                <w:sz w:val="21"/>
                <w:szCs w:val="21"/>
                <w:highlight w:val="none"/>
              </w:rPr>
            </w:pPr>
            <w:r>
              <w:rPr>
                <w:color w:val="auto"/>
                <w:sz w:val="21"/>
                <w:szCs w:val="21"/>
                <w:highlight w:val="none"/>
              </w:rPr>
              <w:t>5</w:t>
            </w:r>
          </w:p>
        </w:tc>
        <w:tc>
          <w:tcPr>
            <w:tcW w:w="1695" w:type="dxa"/>
            <w:vAlign w:val="center"/>
          </w:tcPr>
          <w:p>
            <w:pPr>
              <w:jc w:val="center"/>
              <w:rPr>
                <w:color w:val="auto"/>
                <w:sz w:val="21"/>
                <w:szCs w:val="21"/>
                <w:highlight w:val="none"/>
              </w:rPr>
            </w:pPr>
          </w:p>
        </w:tc>
        <w:tc>
          <w:tcPr>
            <w:tcW w:w="3404" w:type="dxa"/>
            <w:vAlign w:val="top"/>
          </w:tcPr>
          <w:p>
            <w:pPr>
              <w:jc w:val="center"/>
              <w:rPr>
                <w:color w:val="auto"/>
                <w:sz w:val="21"/>
                <w:szCs w:val="21"/>
                <w:highlight w:val="none"/>
              </w:rPr>
            </w:pPr>
          </w:p>
        </w:tc>
        <w:tc>
          <w:tcPr>
            <w:tcW w:w="1344" w:type="dxa"/>
            <w:vAlign w:val="center"/>
          </w:tcPr>
          <w:p>
            <w:pPr>
              <w:jc w:val="center"/>
              <w:rPr>
                <w:color w:val="auto"/>
                <w:sz w:val="21"/>
                <w:szCs w:val="21"/>
                <w:highlight w:val="none"/>
              </w:rPr>
            </w:pPr>
          </w:p>
        </w:tc>
        <w:tc>
          <w:tcPr>
            <w:tcW w:w="1344" w:type="dxa"/>
            <w:vAlign w:val="top"/>
          </w:tcPr>
          <w:p>
            <w:pPr>
              <w:jc w:val="center"/>
              <w:rPr>
                <w:color w:val="auto"/>
                <w:sz w:val="21"/>
                <w:szCs w:val="21"/>
                <w:highlight w:val="none"/>
              </w:rPr>
            </w:pPr>
          </w:p>
        </w:tc>
        <w:tc>
          <w:tcPr>
            <w:tcW w:w="1344" w:type="dxa"/>
            <w:vAlign w:val="top"/>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4"/>
              <w:spacing w:line="240" w:lineRule="auto"/>
              <w:ind w:left="3920"/>
              <w:jc w:val="center"/>
              <w:outlineLvl w:val="0"/>
              <w:rPr>
                <w:color w:val="auto"/>
                <w:sz w:val="21"/>
                <w:szCs w:val="21"/>
                <w:highlight w:val="none"/>
              </w:rPr>
            </w:pPr>
            <w:r>
              <w:rPr>
                <w:color w:val="auto"/>
                <w:sz w:val="21"/>
                <w:szCs w:val="21"/>
                <w:highlight w:val="none"/>
              </w:rPr>
              <w:t>6</w:t>
            </w:r>
          </w:p>
        </w:tc>
        <w:tc>
          <w:tcPr>
            <w:tcW w:w="1695" w:type="dxa"/>
            <w:vAlign w:val="center"/>
          </w:tcPr>
          <w:p>
            <w:pPr>
              <w:jc w:val="center"/>
              <w:rPr>
                <w:color w:val="auto"/>
                <w:sz w:val="21"/>
                <w:szCs w:val="21"/>
                <w:highlight w:val="none"/>
              </w:rPr>
            </w:pPr>
          </w:p>
        </w:tc>
        <w:tc>
          <w:tcPr>
            <w:tcW w:w="3404" w:type="dxa"/>
            <w:vAlign w:val="top"/>
          </w:tcPr>
          <w:p>
            <w:pPr>
              <w:jc w:val="center"/>
              <w:rPr>
                <w:color w:val="auto"/>
                <w:sz w:val="21"/>
                <w:szCs w:val="21"/>
                <w:highlight w:val="none"/>
              </w:rPr>
            </w:pPr>
          </w:p>
        </w:tc>
        <w:tc>
          <w:tcPr>
            <w:tcW w:w="1344" w:type="dxa"/>
            <w:vAlign w:val="center"/>
          </w:tcPr>
          <w:p>
            <w:pPr>
              <w:jc w:val="center"/>
              <w:rPr>
                <w:color w:val="auto"/>
                <w:sz w:val="21"/>
                <w:szCs w:val="21"/>
                <w:highlight w:val="none"/>
              </w:rPr>
            </w:pPr>
          </w:p>
        </w:tc>
        <w:tc>
          <w:tcPr>
            <w:tcW w:w="1344" w:type="dxa"/>
            <w:vAlign w:val="top"/>
          </w:tcPr>
          <w:p>
            <w:pPr>
              <w:jc w:val="center"/>
              <w:rPr>
                <w:color w:val="auto"/>
                <w:sz w:val="21"/>
                <w:szCs w:val="21"/>
                <w:highlight w:val="none"/>
              </w:rPr>
            </w:pPr>
          </w:p>
        </w:tc>
        <w:tc>
          <w:tcPr>
            <w:tcW w:w="1344" w:type="dxa"/>
            <w:vAlign w:val="top"/>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4"/>
              <w:spacing w:line="240" w:lineRule="auto"/>
              <w:ind w:left="3920"/>
              <w:jc w:val="center"/>
              <w:outlineLvl w:val="0"/>
              <w:rPr>
                <w:color w:val="auto"/>
                <w:sz w:val="21"/>
                <w:szCs w:val="21"/>
                <w:highlight w:val="none"/>
              </w:rPr>
            </w:pPr>
            <w:r>
              <w:rPr>
                <w:color w:val="auto"/>
                <w:sz w:val="21"/>
                <w:szCs w:val="21"/>
                <w:highlight w:val="none"/>
              </w:rPr>
              <w:t>7</w:t>
            </w:r>
          </w:p>
        </w:tc>
        <w:tc>
          <w:tcPr>
            <w:tcW w:w="1695" w:type="dxa"/>
            <w:vAlign w:val="center"/>
          </w:tcPr>
          <w:p>
            <w:pPr>
              <w:jc w:val="center"/>
              <w:rPr>
                <w:color w:val="auto"/>
                <w:sz w:val="21"/>
                <w:szCs w:val="21"/>
                <w:highlight w:val="none"/>
              </w:rPr>
            </w:pPr>
          </w:p>
        </w:tc>
        <w:tc>
          <w:tcPr>
            <w:tcW w:w="3404" w:type="dxa"/>
            <w:vAlign w:val="top"/>
          </w:tcPr>
          <w:p>
            <w:pPr>
              <w:jc w:val="center"/>
              <w:rPr>
                <w:color w:val="auto"/>
                <w:sz w:val="21"/>
                <w:szCs w:val="21"/>
                <w:highlight w:val="none"/>
              </w:rPr>
            </w:pPr>
          </w:p>
        </w:tc>
        <w:tc>
          <w:tcPr>
            <w:tcW w:w="1344" w:type="dxa"/>
            <w:vAlign w:val="center"/>
          </w:tcPr>
          <w:p>
            <w:pPr>
              <w:jc w:val="center"/>
              <w:rPr>
                <w:color w:val="auto"/>
                <w:sz w:val="21"/>
                <w:szCs w:val="21"/>
                <w:highlight w:val="none"/>
              </w:rPr>
            </w:pPr>
          </w:p>
        </w:tc>
        <w:tc>
          <w:tcPr>
            <w:tcW w:w="1344" w:type="dxa"/>
            <w:vAlign w:val="top"/>
          </w:tcPr>
          <w:p>
            <w:pPr>
              <w:jc w:val="center"/>
              <w:rPr>
                <w:color w:val="auto"/>
                <w:sz w:val="21"/>
                <w:szCs w:val="21"/>
                <w:highlight w:val="none"/>
              </w:rPr>
            </w:pPr>
          </w:p>
        </w:tc>
        <w:tc>
          <w:tcPr>
            <w:tcW w:w="1344" w:type="dxa"/>
            <w:vAlign w:val="top"/>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4"/>
              <w:spacing w:line="240" w:lineRule="auto"/>
              <w:ind w:left="3920"/>
              <w:jc w:val="center"/>
              <w:outlineLvl w:val="0"/>
              <w:rPr>
                <w:color w:val="auto"/>
                <w:sz w:val="21"/>
                <w:szCs w:val="21"/>
                <w:highlight w:val="none"/>
              </w:rPr>
            </w:pPr>
            <w:r>
              <w:rPr>
                <w:color w:val="auto"/>
                <w:sz w:val="21"/>
                <w:szCs w:val="21"/>
                <w:highlight w:val="none"/>
              </w:rPr>
              <w:t>8</w:t>
            </w:r>
          </w:p>
        </w:tc>
        <w:tc>
          <w:tcPr>
            <w:tcW w:w="1695" w:type="dxa"/>
            <w:vAlign w:val="center"/>
          </w:tcPr>
          <w:p>
            <w:pPr>
              <w:jc w:val="center"/>
              <w:rPr>
                <w:color w:val="auto"/>
                <w:sz w:val="21"/>
                <w:szCs w:val="21"/>
                <w:highlight w:val="none"/>
              </w:rPr>
            </w:pPr>
            <w:r>
              <w:rPr>
                <w:color w:val="auto"/>
                <w:sz w:val="21"/>
                <w:szCs w:val="21"/>
                <w:highlight w:val="none"/>
              </w:rPr>
              <w:t>人工费</w:t>
            </w:r>
          </w:p>
        </w:tc>
        <w:tc>
          <w:tcPr>
            <w:tcW w:w="3404" w:type="dxa"/>
            <w:vAlign w:val="top"/>
          </w:tcPr>
          <w:p>
            <w:pPr>
              <w:jc w:val="center"/>
              <w:rPr>
                <w:color w:val="auto"/>
                <w:sz w:val="21"/>
                <w:szCs w:val="21"/>
                <w:highlight w:val="none"/>
              </w:rPr>
            </w:pPr>
          </w:p>
        </w:tc>
        <w:tc>
          <w:tcPr>
            <w:tcW w:w="1344" w:type="dxa"/>
            <w:vAlign w:val="center"/>
          </w:tcPr>
          <w:p>
            <w:pPr>
              <w:jc w:val="center"/>
              <w:rPr>
                <w:color w:val="auto"/>
                <w:sz w:val="21"/>
                <w:szCs w:val="21"/>
                <w:highlight w:val="none"/>
              </w:rPr>
            </w:pPr>
            <w:r>
              <w:rPr>
                <w:color w:val="auto"/>
                <w:sz w:val="21"/>
                <w:szCs w:val="21"/>
                <w:highlight w:val="none"/>
              </w:rPr>
              <w:t>/</w:t>
            </w:r>
          </w:p>
        </w:tc>
        <w:tc>
          <w:tcPr>
            <w:tcW w:w="1344" w:type="dxa"/>
            <w:vAlign w:val="top"/>
          </w:tcPr>
          <w:p>
            <w:pPr>
              <w:jc w:val="center"/>
              <w:rPr>
                <w:color w:val="auto"/>
                <w:sz w:val="21"/>
                <w:szCs w:val="21"/>
                <w:highlight w:val="none"/>
              </w:rPr>
            </w:pPr>
          </w:p>
        </w:tc>
        <w:tc>
          <w:tcPr>
            <w:tcW w:w="1344" w:type="dxa"/>
            <w:vAlign w:val="top"/>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4"/>
              <w:spacing w:line="240" w:lineRule="auto"/>
              <w:ind w:left="3920"/>
              <w:jc w:val="center"/>
              <w:outlineLvl w:val="0"/>
              <w:rPr>
                <w:color w:val="auto"/>
                <w:sz w:val="21"/>
                <w:szCs w:val="21"/>
                <w:highlight w:val="none"/>
              </w:rPr>
            </w:pPr>
            <w:r>
              <w:rPr>
                <w:color w:val="auto"/>
                <w:sz w:val="21"/>
                <w:szCs w:val="21"/>
                <w:highlight w:val="none"/>
              </w:rPr>
              <w:t>9</w:t>
            </w:r>
          </w:p>
        </w:tc>
        <w:tc>
          <w:tcPr>
            <w:tcW w:w="1695" w:type="dxa"/>
            <w:vAlign w:val="center"/>
          </w:tcPr>
          <w:p>
            <w:pPr>
              <w:jc w:val="center"/>
              <w:rPr>
                <w:color w:val="auto"/>
                <w:sz w:val="21"/>
                <w:szCs w:val="21"/>
                <w:highlight w:val="none"/>
              </w:rPr>
            </w:pPr>
            <w:r>
              <w:rPr>
                <w:color w:val="auto"/>
                <w:sz w:val="21"/>
                <w:szCs w:val="21"/>
                <w:highlight w:val="none"/>
              </w:rPr>
              <w:t>各种税费</w:t>
            </w:r>
          </w:p>
        </w:tc>
        <w:tc>
          <w:tcPr>
            <w:tcW w:w="3404" w:type="dxa"/>
            <w:vAlign w:val="top"/>
          </w:tcPr>
          <w:p>
            <w:pPr>
              <w:jc w:val="center"/>
              <w:rPr>
                <w:color w:val="auto"/>
                <w:sz w:val="21"/>
                <w:szCs w:val="21"/>
                <w:highlight w:val="none"/>
              </w:rPr>
            </w:pPr>
          </w:p>
        </w:tc>
        <w:tc>
          <w:tcPr>
            <w:tcW w:w="1344" w:type="dxa"/>
            <w:vAlign w:val="center"/>
          </w:tcPr>
          <w:p>
            <w:pPr>
              <w:jc w:val="center"/>
              <w:rPr>
                <w:color w:val="auto"/>
                <w:sz w:val="21"/>
                <w:szCs w:val="21"/>
                <w:highlight w:val="none"/>
              </w:rPr>
            </w:pPr>
            <w:r>
              <w:rPr>
                <w:color w:val="auto"/>
                <w:sz w:val="21"/>
                <w:szCs w:val="21"/>
                <w:highlight w:val="none"/>
              </w:rPr>
              <w:t>/</w:t>
            </w:r>
          </w:p>
        </w:tc>
        <w:tc>
          <w:tcPr>
            <w:tcW w:w="1344" w:type="dxa"/>
            <w:vAlign w:val="top"/>
          </w:tcPr>
          <w:p>
            <w:pPr>
              <w:jc w:val="center"/>
              <w:rPr>
                <w:color w:val="auto"/>
                <w:sz w:val="21"/>
                <w:szCs w:val="21"/>
                <w:highlight w:val="none"/>
              </w:rPr>
            </w:pPr>
          </w:p>
        </w:tc>
        <w:tc>
          <w:tcPr>
            <w:tcW w:w="1344" w:type="dxa"/>
            <w:vAlign w:val="top"/>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4"/>
              <w:spacing w:line="240" w:lineRule="auto"/>
              <w:ind w:left="3920"/>
              <w:jc w:val="center"/>
              <w:outlineLvl w:val="0"/>
              <w:rPr>
                <w:color w:val="auto"/>
                <w:sz w:val="21"/>
                <w:szCs w:val="21"/>
                <w:highlight w:val="none"/>
              </w:rPr>
            </w:pPr>
            <w:r>
              <w:rPr>
                <w:color w:val="auto"/>
                <w:sz w:val="21"/>
                <w:szCs w:val="21"/>
                <w:highlight w:val="none"/>
              </w:rPr>
              <w:t>10</w:t>
            </w:r>
          </w:p>
        </w:tc>
        <w:tc>
          <w:tcPr>
            <w:tcW w:w="1695" w:type="dxa"/>
            <w:vAlign w:val="center"/>
          </w:tcPr>
          <w:p>
            <w:pPr>
              <w:jc w:val="center"/>
              <w:rPr>
                <w:color w:val="auto"/>
                <w:sz w:val="21"/>
                <w:szCs w:val="21"/>
                <w:highlight w:val="none"/>
              </w:rPr>
            </w:pPr>
            <w:r>
              <w:rPr>
                <w:color w:val="auto"/>
                <w:sz w:val="21"/>
                <w:szCs w:val="21"/>
                <w:highlight w:val="none"/>
              </w:rPr>
              <w:t>其他费用</w:t>
            </w:r>
          </w:p>
        </w:tc>
        <w:tc>
          <w:tcPr>
            <w:tcW w:w="3404" w:type="dxa"/>
            <w:vAlign w:val="top"/>
          </w:tcPr>
          <w:p>
            <w:pPr>
              <w:jc w:val="center"/>
              <w:rPr>
                <w:color w:val="auto"/>
                <w:sz w:val="21"/>
                <w:szCs w:val="21"/>
                <w:highlight w:val="none"/>
              </w:rPr>
            </w:pPr>
          </w:p>
        </w:tc>
        <w:tc>
          <w:tcPr>
            <w:tcW w:w="1344" w:type="dxa"/>
            <w:vAlign w:val="center"/>
          </w:tcPr>
          <w:p>
            <w:pPr>
              <w:jc w:val="center"/>
              <w:rPr>
                <w:color w:val="auto"/>
                <w:sz w:val="21"/>
                <w:szCs w:val="21"/>
                <w:highlight w:val="none"/>
              </w:rPr>
            </w:pPr>
            <w:r>
              <w:rPr>
                <w:color w:val="auto"/>
                <w:sz w:val="21"/>
                <w:szCs w:val="21"/>
                <w:highlight w:val="none"/>
              </w:rPr>
              <w:t>/</w:t>
            </w:r>
          </w:p>
        </w:tc>
        <w:tc>
          <w:tcPr>
            <w:tcW w:w="1344" w:type="dxa"/>
            <w:vAlign w:val="top"/>
          </w:tcPr>
          <w:p>
            <w:pPr>
              <w:jc w:val="center"/>
              <w:rPr>
                <w:color w:val="auto"/>
                <w:sz w:val="21"/>
                <w:szCs w:val="21"/>
                <w:highlight w:val="none"/>
              </w:rPr>
            </w:pPr>
          </w:p>
        </w:tc>
        <w:tc>
          <w:tcPr>
            <w:tcW w:w="1344" w:type="dxa"/>
            <w:vAlign w:val="top"/>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4"/>
              <w:spacing w:line="240" w:lineRule="auto"/>
              <w:ind w:left="3920"/>
              <w:jc w:val="center"/>
              <w:outlineLvl w:val="0"/>
              <w:rPr>
                <w:color w:val="auto"/>
                <w:sz w:val="21"/>
                <w:szCs w:val="21"/>
                <w:highlight w:val="none"/>
              </w:rPr>
            </w:pPr>
            <w:r>
              <w:rPr>
                <w:color w:val="auto"/>
                <w:sz w:val="21"/>
                <w:szCs w:val="21"/>
                <w:highlight w:val="none"/>
              </w:rPr>
              <w:t>11</w:t>
            </w:r>
          </w:p>
        </w:tc>
        <w:tc>
          <w:tcPr>
            <w:tcW w:w="1695" w:type="dxa"/>
            <w:vAlign w:val="center"/>
          </w:tcPr>
          <w:p>
            <w:pPr>
              <w:jc w:val="center"/>
              <w:rPr>
                <w:color w:val="auto"/>
                <w:sz w:val="21"/>
                <w:szCs w:val="21"/>
                <w:highlight w:val="none"/>
              </w:rPr>
            </w:pPr>
            <w:r>
              <w:rPr>
                <w:color w:val="auto"/>
                <w:sz w:val="21"/>
                <w:szCs w:val="21"/>
                <w:highlight w:val="none"/>
              </w:rPr>
              <w:t>……</w:t>
            </w:r>
          </w:p>
        </w:tc>
        <w:tc>
          <w:tcPr>
            <w:tcW w:w="3404" w:type="dxa"/>
            <w:vAlign w:val="top"/>
          </w:tcPr>
          <w:p>
            <w:pPr>
              <w:jc w:val="center"/>
              <w:rPr>
                <w:color w:val="auto"/>
                <w:sz w:val="21"/>
                <w:szCs w:val="21"/>
                <w:highlight w:val="none"/>
              </w:rPr>
            </w:pPr>
          </w:p>
        </w:tc>
        <w:tc>
          <w:tcPr>
            <w:tcW w:w="1344" w:type="dxa"/>
            <w:vAlign w:val="center"/>
          </w:tcPr>
          <w:p>
            <w:pPr>
              <w:jc w:val="center"/>
              <w:rPr>
                <w:color w:val="auto"/>
                <w:sz w:val="21"/>
                <w:szCs w:val="21"/>
                <w:highlight w:val="none"/>
              </w:rPr>
            </w:pPr>
            <w:r>
              <w:rPr>
                <w:color w:val="auto"/>
                <w:sz w:val="21"/>
                <w:szCs w:val="21"/>
                <w:highlight w:val="none"/>
              </w:rPr>
              <w:t>/</w:t>
            </w:r>
          </w:p>
        </w:tc>
        <w:tc>
          <w:tcPr>
            <w:tcW w:w="1344" w:type="dxa"/>
            <w:vAlign w:val="top"/>
          </w:tcPr>
          <w:p>
            <w:pPr>
              <w:jc w:val="center"/>
              <w:rPr>
                <w:color w:val="auto"/>
                <w:sz w:val="21"/>
                <w:szCs w:val="21"/>
                <w:highlight w:val="none"/>
              </w:rPr>
            </w:pPr>
          </w:p>
        </w:tc>
        <w:tc>
          <w:tcPr>
            <w:tcW w:w="1344" w:type="dxa"/>
            <w:vAlign w:val="top"/>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4"/>
              <w:spacing w:line="240" w:lineRule="auto"/>
              <w:ind w:left="3920"/>
              <w:jc w:val="center"/>
              <w:outlineLvl w:val="0"/>
              <w:rPr>
                <w:color w:val="auto"/>
                <w:sz w:val="21"/>
                <w:szCs w:val="21"/>
                <w:highlight w:val="none"/>
              </w:rPr>
            </w:pPr>
            <w:r>
              <w:rPr>
                <w:color w:val="auto"/>
                <w:sz w:val="21"/>
                <w:szCs w:val="21"/>
                <w:highlight w:val="none"/>
              </w:rPr>
              <w:t>12</w:t>
            </w:r>
          </w:p>
        </w:tc>
        <w:tc>
          <w:tcPr>
            <w:tcW w:w="1695" w:type="dxa"/>
            <w:vAlign w:val="center"/>
          </w:tcPr>
          <w:p>
            <w:pPr>
              <w:jc w:val="center"/>
              <w:rPr>
                <w:color w:val="auto"/>
                <w:sz w:val="21"/>
                <w:szCs w:val="21"/>
                <w:highlight w:val="none"/>
              </w:rPr>
            </w:pPr>
            <w:r>
              <w:rPr>
                <w:color w:val="auto"/>
                <w:sz w:val="21"/>
                <w:szCs w:val="21"/>
                <w:highlight w:val="none"/>
              </w:rPr>
              <w:t>总计</w:t>
            </w:r>
          </w:p>
        </w:tc>
        <w:tc>
          <w:tcPr>
            <w:tcW w:w="7436" w:type="dxa"/>
            <w:gridSpan w:val="4"/>
            <w:vAlign w:val="top"/>
          </w:tcPr>
          <w:p>
            <w:pPr>
              <w:rPr>
                <w:color w:val="auto"/>
                <w:sz w:val="21"/>
                <w:szCs w:val="21"/>
                <w:highlight w:val="none"/>
              </w:rPr>
            </w:pPr>
          </w:p>
        </w:tc>
      </w:tr>
    </w:tbl>
    <w:p>
      <w:pPr>
        <w:snapToGrid w:val="0"/>
        <w:spacing w:line="312" w:lineRule="auto"/>
        <w:ind w:firstLine="480" w:firstLineChars="200"/>
        <w:rPr>
          <w:color w:val="auto"/>
          <w:sz w:val="24"/>
          <w:szCs w:val="28"/>
          <w:highlight w:val="none"/>
        </w:rPr>
      </w:pPr>
    </w:p>
    <w:p>
      <w:pPr>
        <w:snapToGrid w:val="0"/>
        <w:spacing w:line="312" w:lineRule="auto"/>
        <w:ind w:firstLine="480" w:firstLineChars="200"/>
        <w:rPr>
          <w:color w:val="auto"/>
          <w:sz w:val="24"/>
          <w:szCs w:val="28"/>
          <w:highlight w:val="none"/>
        </w:rPr>
      </w:pPr>
    </w:p>
    <w:p>
      <w:pPr>
        <w:snapToGrid w:val="0"/>
        <w:spacing w:line="312" w:lineRule="auto"/>
        <w:rPr>
          <w:color w:val="auto"/>
          <w:sz w:val="24"/>
          <w:szCs w:val="28"/>
          <w:highlight w:val="none"/>
        </w:rPr>
      </w:pPr>
      <w:r>
        <w:rPr>
          <w:color w:val="auto"/>
          <w:sz w:val="24"/>
          <w:szCs w:val="28"/>
          <w:highlight w:val="none"/>
        </w:rPr>
        <w:t>注：本表可根据项目实际情况调整，并逐页盖章。</w:t>
      </w:r>
    </w:p>
    <w:p>
      <w:pPr>
        <w:pStyle w:val="8"/>
        <w:spacing w:line="312" w:lineRule="auto"/>
        <w:ind w:firstLine="480"/>
        <w:rPr>
          <w:color w:val="auto"/>
          <w:sz w:val="24"/>
          <w:szCs w:val="24"/>
          <w:highlight w:val="none"/>
        </w:rPr>
      </w:pPr>
    </w:p>
    <w:p>
      <w:pPr>
        <w:pStyle w:val="8"/>
        <w:spacing w:line="312" w:lineRule="auto"/>
        <w:ind w:firstLine="480"/>
        <w:rPr>
          <w:color w:val="auto"/>
          <w:highlight w:val="none"/>
        </w:rPr>
      </w:pPr>
      <w:r>
        <w:rPr>
          <w:color w:val="auto"/>
          <w:sz w:val="24"/>
          <w:szCs w:val="24"/>
          <w:highlight w:val="none"/>
        </w:rPr>
        <w:t xml:space="preserve">            </w:t>
      </w:r>
    </w:p>
    <w:p>
      <w:pPr>
        <w:spacing w:line="312" w:lineRule="auto"/>
        <w:rPr>
          <w:color w:val="auto"/>
          <w:highlight w:val="none"/>
        </w:rPr>
      </w:pPr>
    </w:p>
    <w:p>
      <w:pPr>
        <w:spacing w:line="312" w:lineRule="auto"/>
        <w:rPr>
          <w:color w:val="auto"/>
          <w:highlight w:val="none"/>
        </w:rPr>
      </w:pPr>
      <w:r>
        <w:rPr>
          <w:color w:val="auto"/>
          <w:sz w:val="24"/>
          <w:szCs w:val="24"/>
          <w:highlight w:val="none"/>
        </w:rPr>
        <w:t xml:space="preserve">                                                   供应商名称（公章）：</w:t>
      </w:r>
    </w:p>
    <w:p>
      <w:pPr>
        <w:spacing w:line="312" w:lineRule="auto"/>
        <w:ind w:right="480" w:firstLine="6480" w:firstLineChars="2700"/>
        <w:rPr>
          <w:color w:val="auto"/>
          <w:sz w:val="24"/>
          <w:szCs w:val="24"/>
          <w:highlight w:val="none"/>
        </w:rPr>
      </w:pPr>
      <w:r>
        <w:rPr>
          <w:color w:val="auto"/>
          <w:sz w:val="24"/>
          <w:szCs w:val="24"/>
          <w:highlight w:val="none"/>
        </w:rPr>
        <w:t>年     月    日</w:t>
      </w:r>
    </w:p>
    <w:p>
      <w:pPr>
        <w:spacing w:line="312" w:lineRule="auto"/>
        <w:ind w:firstLine="420"/>
        <w:rPr>
          <w:b/>
          <w:color w:val="auto"/>
          <w:szCs w:val="28"/>
          <w:highlight w:val="none"/>
        </w:rPr>
      </w:pPr>
    </w:p>
    <w:p>
      <w:pPr>
        <w:spacing w:line="312" w:lineRule="auto"/>
        <w:rPr>
          <w:b/>
          <w:color w:val="auto"/>
          <w:szCs w:val="28"/>
          <w:highlight w:val="none"/>
        </w:rPr>
      </w:pPr>
    </w:p>
    <w:p>
      <w:pPr>
        <w:pStyle w:val="9"/>
        <w:rPr>
          <w:rFonts w:hint="eastAsia" w:ascii="宋体" w:hAnsi="宋体" w:cs="宋体"/>
          <w:color w:val="auto"/>
          <w:sz w:val="24"/>
          <w:szCs w:val="24"/>
          <w:highlight w:val="none"/>
        </w:rPr>
        <w:sectPr>
          <w:headerReference r:id="rId3" w:type="default"/>
          <w:footerReference r:id="rId4" w:type="default"/>
          <w:pgSz w:w="11907" w:h="16840"/>
          <w:pgMar w:top="1134" w:right="1418" w:bottom="1134" w:left="1418" w:header="964" w:footer="992" w:gutter="0"/>
          <w:pgNumType w:fmt="numberInDash"/>
          <w:cols w:space="720" w:num="1"/>
          <w:docGrid w:linePitch="312" w:charSpace="0"/>
        </w:sectPr>
      </w:pPr>
    </w:p>
    <w:p>
      <w:pPr>
        <w:pStyle w:val="3"/>
        <w:spacing w:before="0" w:after="0" w:line="312" w:lineRule="auto"/>
        <w:rPr>
          <w:rFonts w:ascii="宋体" w:hAnsi="宋体" w:cs="宋体"/>
          <w:color w:val="auto"/>
          <w:sz w:val="24"/>
          <w:szCs w:val="24"/>
          <w:highlight w:val="none"/>
        </w:rPr>
      </w:pPr>
      <w:r>
        <w:rPr>
          <w:rFonts w:hint="eastAsia" w:ascii="宋体" w:hAnsi="宋体" w:cs="宋体"/>
          <w:color w:val="auto"/>
          <w:sz w:val="24"/>
          <w:szCs w:val="24"/>
          <w:highlight w:val="none"/>
        </w:rPr>
        <w:t>2</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服务</w:t>
      </w:r>
      <w:r>
        <w:rPr>
          <w:rFonts w:hint="eastAsia" w:ascii="宋体" w:hAnsi="宋体" w:cs="宋体"/>
          <w:color w:val="auto"/>
          <w:sz w:val="24"/>
          <w:szCs w:val="24"/>
          <w:highlight w:val="none"/>
        </w:rPr>
        <w:t>方案</w:t>
      </w:r>
    </w:p>
    <w:p>
      <w:pPr>
        <w:spacing w:line="312" w:lineRule="auto"/>
        <w:jc w:val="center"/>
        <w:rPr>
          <w:rFonts w:ascii="宋体"/>
          <w:b/>
          <w:bCs/>
          <w:i/>
          <w:iCs/>
          <w:color w:val="auto"/>
          <w:sz w:val="24"/>
          <w:szCs w:val="24"/>
          <w:highlight w:val="none"/>
          <w:u w:val="single"/>
        </w:rPr>
      </w:pPr>
      <w:r>
        <w:rPr>
          <w:rFonts w:hint="eastAsia" w:ascii="宋体" w:hAnsi="宋体" w:cs="宋体"/>
          <w:i/>
          <w:iCs/>
          <w:color w:val="auto"/>
          <w:sz w:val="24"/>
          <w:szCs w:val="24"/>
          <w:highlight w:val="none"/>
          <w:u w:val="single"/>
          <w:lang w:eastAsia="zh-CN"/>
        </w:rPr>
        <w:t>技术</w:t>
      </w:r>
      <w:r>
        <w:rPr>
          <w:rFonts w:hint="eastAsia" w:ascii="宋体" w:hAnsi="宋体" w:cs="宋体"/>
          <w:i/>
          <w:iCs/>
          <w:color w:val="auto"/>
          <w:sz w:val="24"/>
          <w:szCs w:val="24"/>
          <w:highlight w:val="none"/>
          <w:u w:val="single"/>
        </w:rPr>
        <w:t>方案（格式自定）</w:t>
      </w:r>
    </w:p>
    <w:p>
      <w:pPr>
        <w:spacing w:line="312" w:lineRule="auto"/>
        <w:jc w:val="center"/>
        <w:rPr>
          <w:rFonts w:ascii="宋体"/>
          <w:b/>
          <w:bCs/>
          <w:color w:val="auto"/>
          <w:sz w:val="24"/>
          <w:szCs w:val="24"/>
          <w:highlight w:val="none"/>
        </w:rPr>
      </w:pPr>
    </w:p>
    <w:p>
      <w:pPr>
        <w:pStyle w:val="3"/>
        <w:spacing w:before="0" w:after="0" w:line="312" w:lineRule="auto"/>
        <w:rPr>
          <w:rFonts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资格条件及其他</w:t>
      </w:r>
    </w:p>
    <w:p>
      <w:pPr>
        <w:spacing w:line="312" w:lineRule="auto"/>
        <w:jc w:val="center"/>
        <w:rPr>
          <w:rFonts w:ascii="宋体" w:hAnsi="宋体" w:cs="宋体"/>
          <w:color w:val="auto"/>
          <w:sz w:val="24"/>
          <w:szCs w:val="24"/>
          <w:highlight w:val="none"/>
        </w:rPr>
      </w:pPr>
      <w:r>
        <w:rPr>
          <w:rFonts w:hint="eastAsia" w:ascii="宋体" w:hAnsi="宋体" w:cs="宋体"/>
          <w:i/>
          <w:iCs/>
          <w:color w:val="auto"/>
          <w:sz w:val="24"/>
          <w:szCs w:val="24"/>
          <w:highlight w:val="none"/>
          <w:u w:val="single"/>
        </w:rPr>
        <w:t>按照采购文件要求提供</w:t>
      </w:r>
    </w:p>
    <w:p>
      <w:pPr>
        <w:pStyle w:val="3"/>
        <w:spacing w:before="0" w:after="0" w:line="312"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承诺书</w:t>
      </w:r>
    </w:p>
    <w:bookmarkEnd w:id="0"/>
    <w:bookmarkEnd w:id="1"/>
    <w:bookmarkEnd w:id="2"/>
    <w:bookmarkEnd w:id="3"/>
    <w:bookmarkEnd w:id="4"/>
    <w:p>
      <w:pPr>
        <w:tabs>
          <w:tab w:val="left" w:pos="6300"/>
        </w:tabs>
        <w:snapToGrid w:val="0"/>
        <w:spacing w:line="400" w:lineRule="exact"/>
        <w:ind w:firstLine="2415" w:firstLineChars="1150"/>
        <w:rPr>
          <w:rFonts w:hint="eastAsia" w:ascii="方正仿宋_GBK" w:hAnsi="方正仿宋_GBK" w:eastAsia="方正仿宋_GBK" w:cs="方正仿宋_GBK"/>
          <w:color w:val="auto"/>
          <w:szCs w:val="22"/>
          <w:highlight w:val="none"/>
          <w:lang w:eastAsia="zh-CN"/>
        </w:rPr>
      </w:pPr>
      <w:r>
        <w:rPr>
          <w:rFonts w:hint="eastAsia" w:ascii="方正仿宋_GBK" w:hAnsi="方正仿宋_GBK" w:eastAsia="方正仿宋_GBK" w:cs="方正仿宋_GBK"/>
          <w:color w:val="auto"/>
          <w:szCs w:val="22"/>
          <w:highlight w:val="none"/>
          <w:lang w:eastAsia="zh-CN"/>
        </w:rPr>
        <w:t>承诺书</w:t>
      </w:r>
    </w:p>
    <w:p>
      <w:pPr>
        <w:tabs>
          <w:tab w:val="left" w:pos="6300"/>
        </w:tabs>
        <w:snapToGrid w:val="0"/>
        <w:spacing w:line="400" w:lineRule="exact"/>
        <w:ind w:firstLine="570"/>
        <w:rPr>
          <w:rFonts w:hint="eastAsia" w:ascii="方正仿宋_GBK" w:hAnsi="方正仿宋_GBK" w:eastAsia="方正仿宋_GBK" w:cs="方正仿宋_GBK"/>
          <w:color w:val="auto"/>
          <w:sz w:val="24"/>
          <w:szCs w:val="24"/>
          <w:highlight w:val="none"/>
        </w:rPr>
      </w:pPr>
    </w:p>
    <w:p>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项目名称：</w:t>
      </w:r>
      <w:r>
        <w:rPr>
          <w:rFonts w:hint="eastAsia" w:ascii="方正仿宋_GBK" w:hAnsi="方正仿宋_GBK" w:eastAsia="方正仿宋_GBK" w:cs="方正仿宋_GBK"/>
          <w:color w:val="auto"/>
          <w:sz w:val="24"/>
          <w:szCs w:val="24"/>
          <w:highlight w:val="none"/>
          <w:u w:val="single"/>
        </w:rPr>
        <w:t xml:space="preserve">                                                </w:t>
      </w:r>
    </w:p>
    <w:p>
      <w:pPr>
        <w:tabs>
          <w:tab w:val="left" w:pos="6300"/>
        </w:tabs>
        <w:snapToGrid w:val="0"/>
        <w:spacing w:line="400" w:lineRule="exact"/>
        <w:ind w:firstLine="570"/>
        <w:rPr>
          <w:rFonts w:hint="eastAsia" w:ascii="方正仿宋_GBK" w:hAnsi="方正仿宋_GBK" w:eastAsia="方正仿宋_GBK" w:cs="方正仿宋_GBK"/>
          <w:color w:val="auto"/>
          <w:sz w:val="24"/>
          <w:szCs w:val="24"/>
          <w:highlight w:val="none"/>
        </w:rPr>
      </w:pPr>
    </w:p>
    <w:p>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（采购</w:t>
      </w:r>
      <w:r>
        <w:rPr>
          <w:rFonts w:hint="eastAsia" w:ascii="方正仿宋_GBK" w:hAnsi="方正仿宋_GBK" w:cs="方正仿宋_GBK"/>
          <w:color w:val="auto"/>
          <w:sz w:val="24"/>
          <w:szCs w:val="24"/>
          <w:highlight w:val="none"/>
          <w:lang w:val="en-US" w:eastAsia="zh-CN"/>
        </w:rPr>
        <w:t>人</w:t>
      </w:r>
      <w:r>
        <w:rPr>
          <w:rFonts w:hint="eastAsia" w:ascii="方正仿宋_GBK" w:hAnsi="方正仿宋_GBK" w:eastAsia="方正仿宋_GBK" w:cs="方正仿宋_GBK"/>
          <w:color w:val="auto"/>
          <w:sz w:val="24"/>
          <w:szCs w:val="24"/>
          <w:highlight w:val="none"/>
        </w:rPr>
        <w:t>名称）：</w:t>
      </w:r>
    </w:p>
    <w:p>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供应商</w:t>
      </w:r>
      <w:r>
        <w:rPr>
          <w:rFonts w:hint="eastAsia" w:ascii="方正仿宋_GBK" w:hAnsi="方正仿宋_GBK" w:eastAsia="方正仿宋_GBK" w:cs="方正仿宋_GBK"/>
          <w:color w:val="auto"/>
          <w:sz w:val="24"/>
          <w:szCs w:val="24"/>
          <w:highlight w:val="none"/>
        </w:rPr>
        <w:t>名称）郑重声明，我公司具有良好的商业信誉和健全的财务会计制度，有依法缴纳税收和社会保障金的良好记录，具有履行合同所必需专业技术能力，</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对</w:t>
      </w:r>
      <w:r>
        <w:rPr>
          <w:rFonts w:hint="eastAsia" w:ascii="方正仿宋_GBK" w:hAnsi="方正仿宋_GBK" w:eastAsia="方正仿宋_GBK" w:cs="方正仿宋_GBK"/>
          <w:color w:val="auto"/>
          <w:sz w:val="24"/>
          <w:szCs w:val="24"/>
          <w:highlight w:val="none"/>
          <w:lang w:eastAsia="zh-CN"/>
        </w:rPr>
        <w:t>采购公告的</w:t>
      </w:r>
      <w:r>
        <w:rPr>
          <w:rFonts w:hint="eastAsia" w:ascii="方正仿宋_GBK" w:hAnsi="方正仿宋_GBK" w:eastAsia="方正仿宋_GBK" w:cs="方正仿宋_GBK"/>
          <w:color w:val="auto"/>
          <w:sz w:val="24"/>
          <w:szCs w:val="24"/>
          <w:highlight w:val="none"/>
        </w:rPr>
        <w:t>条款和服务</w:t>
      </w:r>
      <w:r>
        <w:rPr>
          <w:rFonts w:hint="eastAsia" w:ascii="方正仿宋_GBK" w:hAnsi="方正仿宋_GBK" w:eastAsia="方正仿宋_GBK" w:cs="方正仿宋_GBK"/>
          <w:color w:val="auto"/>
          <w:sz w:val="24"/>
          <w:szCs w:val="24"/>
          <w:highlight w:val="none"/>
          <w:lang w:eastAsia="zh-CN"/>
        </w:rPr>
        <w:t>进行</w:t>
      </w:r>
      <w:r>
        <w:rPr>
          <w:rFonts w:hint="eastAsia" w:ascii="方正仿宋_GBK" w:hAnsi="方正仿宋_GBK" w:eastAsia="方正仿宋_GBK" w:cs="方正仿宋_GBK"/>
          <w:color w:val="auto"/>
          <w:sz w:val="24"/>
          <w:szCs w:val="24"/>
          <w:highlight w:val="none"/>
        </w:rPr>
        <w:t>承诺必须达到要求</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lang w:val="en-US" w:eastAsia="zh-CN"/>
        </w:rPr>
        <w:t xml:space="preserve"> </w:t>
      </w:r>
      <w:r>
        <w:rPr>
          <w:rFonts w:hint="eastAsia" w:ascii="方正仿宋_GBK" w:hAnsi="方正仿宋_GBK" w:eastAsia="方正仿宋_GBK" w:cs="方正仿宋_GBK"/>
          <w:color w:val="auto"/>
          <w:sz w:val="24"/>
          <w:szCs w:val="24"/>
          <w:highlight w:val="none"/>
        </w:rPr>
        <w:t>，在合同签订前后随时愿意提供相关证明材料；我方对以上声明负全部法律责任。</w:t>
      </w:r>
    </w:p>
    <w:p>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特此声明。</w:t>
      </w:r>
    </w:p>
    <w:p>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p>
    <w:p>
      <w:pPr>
        <w:tabs>
          <w:tab w:val="left" w:pos="6300"/>
        </w:tabs>
        <w:snapToGrid w:val="0"/>
        <w:spacing w:line="400" w:lineRule="exact"/>
        <w:ind w:right="424" w:firstLine="570"/>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供应商</w:t>
      </w:r>
      <w:r>
        <w:rPr>
          <w:rFonts w:hint="eastAsia" w:ascii="方正仿宋_GBK" w:hAnsi="方正仿宋_GBK" w:eastAsia="方正仿宋_GBK" w:cs="方正仿宋_GBK"/>
          <w:color w:val="auto"/>
          <w:sz w:val="24"/>
          <w:szCs w:val="24"/>
          <w:highlight w:val="none"/>
        </w:rPr>
        <w:t>公章）</w:t>
      </w:r>
    </w:p>
    <w:p>
      <w:pPr>
        <w:tabs>
          <w:tab w:val="left" w:pos="6300"/>
        </w:tabs>
        <w:snapToGrid w:val="0"/>
        <w:spacing w:line="400" w:lineRule="exact"/>
        <w:ind w:right="480" w:firstLine="570"/>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年   月   日</w:t>
      </w:r>
    </w:p>
    <w:p>
      <w:pPr>
        <w:rPr>
          <w:rFonts w:hint="eastAsia"/>
          <w:b/>
          <w:bCs/>
          <w:color w:val="auto"/>
          <w:szCs w:val="28"/>
          <w:highlight w:val="none"/>
          <w:lang w:val="en-US" w:eastAsia="zh-CN"/>
        </w:rPr>
      </w:pPr>
      <w:r>
        <w:rPr>
          <w:rFonts w:hint="eastAsia"/>
          <w:b/>
          <w:bCs/>
          <w:color w:val="auto"/>
          <w:szCs w:val="28"/>
          <w:highlight w:val="none"/>
          <w:lang w:val="en-US" w:eastAsia="zh-CN"/>
        </w:rPr>
        <w:br w:type="page"/>
      </w:r>
    </w:p>
    <w:p>
      <w:pPr>
        <w:rPr>
          <w:b/>
          <w:bCs/>
          <w:color w:val="auto"/>
          <w:szCs w:val="28"/>
          <w:highlight w:val="none"/>
        </w:rPr>
      </w:pPr>
      <w:r>
        <w:rPr>
          <w:rFonts w:hint="eastAsia"/>
          <w:b/>
          <w:bCs/>
          <w:color w:val="auto"/>
          <w:szCs w:val="28"/>
          <w:highlight w:val="none"/>
          <w:lang w:val="en-US" w:eastAsia="zh-CN"/>
        </w:rPr>
        <w:t>5</w:t>
      </w:r>
      <w:r>
        <w:rPr>
          <w:b/>
          <w:bCs/>
          <w:color w:val="auto"/>
          <w:szCs w:val="28"/>
          <w:highlight w:val="none"/>
        </w:rPr>
        <w:t>、法定代表人授权委托书（格式）/法定代表人（格式）（二选一）</w:t>
      </w:r>
    </w:p>
    <w:p>
      <w:pPr>
        <w:tabs>
          <w:tab w:val="left" w:pos="6300"/>
        </w:tabs>
        <w:snapToGrid w:val="0"/>
        <w:spacing w:line="312" w:lineRule="auto"/>
        <w:jc w:val="center"/>
        <w:rPr>
          <w:color w:val="auto"/>
          <w:sz w:val="24"/>
          <w:szCs w:val="24"/>
          <w:highlight w:val="none"/>
        </w:rPr>
      </w:pPr>
    </w:p>
    <w:p>
      <w:pPr>
        <w:tabs>
          <w:tab w:val="left" w:pos="6300"/>
        </w:tabs>
        <w:snapToGrid w:val="0"/>
        <w:spacing w:line="312" w:lineRule="auto"/>
        <w:jc w:val="center"/>
        <w:rPr>
          <w:color w:val="auto"/>
          <w:sz w:val="24"/>
          <w:szCs w:val="24"/>
          <w:highlight w:val="none"/>
        </w:rPr>
      </w:pPr>
      <w:r>
        <w:rPr>
          <w:b/>
          <w:bCs/>
          <w:color w:val="auto"/>
          <w:sz w:val="24"/>
          <w:szCs w:val="24"/>
          <w:highlight w:val="none"/>
        </w:rPr>
        <w:t>法定代表人授权委托书</w:t>
      </w:r>
    </w:p>
    <w:p>
      <w:pPr>
        <w:tabs>
          <w:tab w:val="left" w:pos="6300"/>
        </w:tabs>
        <w:snapToGrid w:val="0"/>
        <w:spacing w:line="312" w:lineRule="auto"/>
        <w:rPr>
          <w:color w:val="auto"/>
          <w:sz w:val="24"/>
          <w:szCs w:val="24"/>
          <w:highlight w:val="none"/>
        </w:rPr>
      </w:pPr>
      <w:r>
        <w:rPr>
          <w:color w:val="auto"/>
          <w:sz w:val="24"/>
          <w:szCs w:val="24"/>
          <w:highlight w:val="none"/>
        </w:rPr>
        <w:t>致：</w:t>
      </w:r>
      <w:r>
        <w:rPr>
          <w:color w:val="auto"/>
          <w:sz w:val="24"/>
          <w:szCs w:val="24"/>
          <w:highlight w:val="none"/>
          <w:u w:val="single"/>
        </w:rPr>
        <w:t xml:space="preserve">                     </w:t>
      </w:r>
      <w:r>
        <w:rPr>
          <w:color w:val="auto"/>
          <w:sz w:val="24"/>
          <w:szCs w:val="24"/>
          <w:highlight w:val="none"/>
        </w:rPr>
        <w:t>（采购人名称）：</w:t>
      </w:r>
    </w:p>
    <w:p>
      <w:pPr>
        <w:tabs>
          <w:tab w:val="left" w:pos="6300"/>
        </w:tabs>
        <w:snapToGrid w:val="0"/>
        <w:spacing w:line="312" w:lineRule="auto"/>
        <w:ind w:firstLine="480" w:firstLineChars="200"/>
        <w:rPr>
          <w:color w:val="auto"/>
          <w:sz w:val="24"/>
          <w:szCs w:val="24"/>
          <w:highlight w:val="none"/>
        </w:rPr>
      </w:pPr>
      <w:r>
        <w:rPr>
          <w:color w:val="auto"/>
          <w:sz w:val="24"/>
          <w:szCs w:val="24"/>
          <w:highlight w:val="none"/>
          <w:u w:val="single"/>
        </w:rPr>
        <w:t xml:space="preserve">            </w:t>
      </w:r>
      <w:r>
        <w:rPr>
          <w:color w:val="auto"/>
          <w:sz w:val="24"/>
          <w:szCs w:val="24"/>
          <w:highlight w:val="none"/>
        </w:rPr>
        <w:t>（法定代表人名称）是</w:t>
      </w:r>
      <w:r>
        <w:rPr>
          <w:color w:val="auto"/>
          <w:sz w:val="24"/>
          <w:szCs w:val="24"/>
          <w:highlight w:val="none"/>
          <w:u w:val="single"/>
        </w:rPr>
        <w:t xml:space="preserve">                    </w:t>
      </w:r>
      <w:r>
        <w:rPr>
          <w:color w:val="auto"/>
          <w:sz w:val="24"/>
          <w:szCs w:val="24"/>
          <w:highlight w:val="none"/>
        </w:rPr>
        <w:t>（供应商名称）的法定代表人，特授权</w:t>
      </w:r>
      <w:r>
        <w:rPr>
          <w:color w:val="auto"/>
          <w:sz w:val="24"/>
          <w:szCs w:val="24"/>
          <w:highlight w:val="none"/>
          <w:u w:val="single"/>
        </w:rPr>
        <w:t xml:space="preserve">          </w:t>
      </w:r>
      <w:r>
        <w:rPr>
          <w:color w:val="auto"/>
          <w:sz w:val="24"/>
          <w:szCs w:val="24"/>
          <w:highlight w:val="none"/>
        </w:rPr>
        <w:t>（被授权人姓名及身份证代码）电话</w:t>
      </w:r>
      <w:r>
        <w:rPr>
          <w:color w:val="auto"/>
          <w:sz w:val="24"/>
          <w:szCs w:val="24"/>
          <w:highlight w:val="none"/>
          <w:u w:val="single"/>
        </w:rPr>
        <w:t xml:space="preserve">          </w:t>
      </w:r>
      <w:r>
        <w:rPr>
          <w:color w:val="auto"/>
          <w:sz w:val="24"/>
          <w:szCs w:val="24"/>
          <w:highlight w:val="none"/>
        </w:rPr>
        <w:t>代表我单位全权办理上述项目的询比、签约等具体工作，并签署全部有关文件、协议及合同。</w:t>
      </w:r>
    </w:p>
    <w:p>
      <w:pPr>
        <w:tabs>
          <w:tab w:val="left" w:pos="6300"/>
        </w:tabs>
        <w:snapToGrid w:val="0"/>
        <w:spacing w:line="312" w:lineRule="auto"/>
        <w:ind w:firstLine="480" w:firstLineChars="200"/>
        <w:rPr>
          <w:color w:val="auto"/>
          <w:sz w:val="24"/>
          <w:szCs w:val="24"/>
          <w:highlight w:val="none"/>
        </w:rPr>
      </w:pPr>
      <w:r>
        <w:rPr>
          <w:color w:val="auto"/>
          <w:sz w:val="24"/>
          <w:szCs w:val="24"/>
          <w:highlight w:val="none"/>
        </w:rPr>
        <w:t>我单位对被授权人的签字负全部责任。</w:t>
      </w:r>
    </w:p>
    <w:p>
      <w:pPr>
        <w:tabs>
          <w:tab w:val="left" w:pos="6300"/>
        </w:tabs>
        <w:snapToGrid w:val="0"/>
        <w:spacing w:line="312" w:lineRule="auto"/>
        <w:ind w:firstLine="480" w:firstLineChars="200"/>
        <w:rPr>
          <w:color w:val="auto"/>
          <w:sz w:val="24"/>
          <w:szCs w:val="24"/>
          <w:highlight w:val="none"/>
        </w:rPr>
      </w:pPr>
      <w:r>
        <w:rPr>
          <w:color w:val="auto"/>
          <w:sz w:val="24"/>
          <w:szCs w:val="24"/>
          <w:highlight w:val="none"/>
        </w:rPr>
        <w:t>在</w:t>
      </w:r>
      <w:r>
        <w:rPr>
          <w:rFonts w:hint="eastAsia"/>
          <w:color w:val="auto"/>
          <w:sz w:val="24"/>
          <w:szCs w:val="24"/>
          <w:highlight w:val="none"/>
          <w:lang w:eastAsia="zh-CN"/>
        </w:rPr>
        <w:t>撤销</w:t>
      </w:r>
      <w:r>
        <w:rPr>
          <w:color w:val="auto"/>
          <w:sz w:val="24"/>
          <w:szCs w:val="24"/>
          <w:highlight w:val="none"/>
        </w:rPr>
        <w:t>授权的书面通知以前，本授权书一直有</w:t>
      </w:r>
      <w:bookmarkStart w:id="5" w:name="_GoBack"/>
      <w:bookmarkEnd w:id="5"/>
      <w:r>
        <w:rPr>
          <w:color w:val="auto"/>
          <w:sz w:val="24"/>
          <w:szCs w:val="24"/>
          <w:highlight w:val="none"/>
        </w:rPr>
        <w:t>效。被授权人在授权书有效期内签署的所有文件不因授权的</w:t>
      </w:r>
      <w:r>
        <w:rPr>
          <w:rFonts w:hint="eastAsia"/>
          <w:color w:val="auto"/>
          <w:sz w:val="24"/>
          <w:szCs w:val="24"/>
          <w:highlight w:val="none"/>
          <w:lang w:eastAsia="zh-CN"/>
        </w:rPr>
        <w:t>撤销</w:t>
      </w:r>
      <w:r>
        <w:rPr>
          <w:color w:val="auto"/>
          <w:sz w:val="24"/>
          <w:szCs w:val="24"/>
          <w:highlight w:val="none"/>
        </w:rPr>
        <w:t>而失效。</w:t>
      </w:r>
    </w:p>
    <w:p>
      <w:pPr>
        <w:tabs>
          <w:tab w:val="left" w:pos="6300"/>
        </w:tabs>
        <w:snapToGrid w:val="0"/>
        <w:spacing w:line="312" w:lineRule="auto"/>
        <w:ind w:firstLine="570"/>
        <w:rPr>
          <w:color w:val="auto"/>
          <w:sz w:val="24"/>
          <w:szCs w:val="24"/>
          <w:highlight w:val="none"/>
        </w:rPr>
      </w:pPr>
    </w:p>
    <w:p>
      <w:pPr>
        <w:tabs>
          <w:tab w:val="left" w:pos="6300"/>
        </w:tabs>
        <w:snapToGrid w:val="0"/>
        <w:spacing w:line="312" w:lineRule="auto"/>
        <w:ind w:firstLine="570"/>
        <w:rPr>
          <w:color w:val="auto"/>
          <w:sz w:val="24"/>
          <w:szCs w:val="24"/>
          <w:highlight w:val="none"/>
        </w:rPr>
      </w:pPr>
    </w:p>
    <w:p>
      <w:pPr>
        <w:tabs>
          <w:tab w:val="left" w:pos="6300"/>
        </w:tabs>
        <w:snapToGrid w:val="0"/>
        <w:spacing w:line="312" w:lineRule="auto"/>
        <w:ind w:firstLine="570"/>
        <w:rPr>
          <w:color w:val="auto"/>
          <w:sz w:val="24"/>
          <w:szCs w:val="24"/>
          <w:highlight w:val="none"/>
        </w:rPr>
      </w:pPr>
      <w:r>
        <w:rPr>
          <w:color w:val="auto"/>
          <w:sz w:val="24"/>
          <w:szCs w:val="24"/>
          <w:highlight w:val="none"/>
        </w:rPr>
        <w:t>被授权人：                                 法定代表人：</w:t>
      </w:r>
    </w:p>
    <w:p>
      <w:pPr>
        <w:tabs>
          <w:tab w:val="left" w:pos="6300"/>
        </w:tabs>
        <w:snapToGrid w:val="0"/>
        <w:spacing w:line="312" w:lineRule="auto"/>
        <w:ind w:firstLine="570"/>
        <w:rPr>
          <w:color w:val="auto"/>
          <w:sz w:val="24"/>
          <w:szCs w:val="24"/>
          <w:highlight w:val="none"/>
        </w:rPr>
      </w:pPr>
      <w:r>
        <w:rPr>
          <w:color w:val="auto"/>
          <w:sz w:val="24"/>
          <w:szCs w:val="24"/>
          <w:highlight w:val="none"/>
        </w:rPr>
        <w:t>（签字或盖章）                             （签字或盖章）</w:t>
      </w:r>
    </w:p>
    <w:p>
      <w:pPr>
        <w:tabs>
          <w:tab w:val="left" w:pos="6300"/>
        </w:tabs>
        <w:snapToGrid w:val="0"/>
        <w:spacing w:line="312" w:lineRule="auto"/>
        <w:ind w:firstLine="570"/>
        <w:rPr>
          <w:color w:val="auto"/>
          <w:sz w:val="24"/>
          <w:szCs w:val="24"/>
          <w:highlight w:val="none"/>
        </w:rPr>
      </w:pPr>
    </w:p>
    <w:p>
      <w:pPr>
        <w:tabs>
          <w:tab w:val="left" w:pos="6300"/>
        </w:tabs>
        <w:snapToGrid w:val="0"/>
        <w:spacing w:line="312" w:lineRule="auto"/>
        <w:ind w:firstLine="570"/>
        <w:rPr>
          <w:color w:val="auto"/>
          <w:sz w:val="24"/>
          <w:szCs w:val="24"/>
          <w:highlight w:val="none"/>
        </w:rPr>
      </w:pPr>
      <w:r>
        <w:rPr>
          <w:color w:val="auto"/>
          <w:sz w:val="24"/>
          <w:szCs w:val="24"/>
          <w:highlight w:val="none"/>
        </w:rPr>
        <w:t>（附：被授权人身份证正反面复印件）</w:t>
      </w:r>
    </w:p>
    <w:p>
      <w:pPr>
        <w:tabs>
          <w:tab w:val="left" w:pos="6300"/>
        </w:tabs>
        <w:snapToGrid w:val="0"/>
        <w:spacing w:line="312" w:lineRule="auto"/>
        <w:ind w:firstLine="570"/>
        <w:rPr>
          <w:color w:val="auto"/>
          <w:sz w:val="24"/>
          <w:szCs w:val="24"/>
          <w:highlight w:val="none"/>
        </w:rPr>
      </w:pPr>
    </w:p>
    <w:p>
      <w:pPr>
        <w:tabs>
          <w:tab w:val="left" w:pos="6300"/>
        </w:tabs>
        <w:snapToGrid w:val="0"/>
        <w:spacing w:line="312" w:lineRule="auto"/>
        <w:ind w:right="480" w:firstLine="570"/>
        <w:jc w:val="right"/>
        <w:rPr>
          <w:color w:val="auto"/>
          <w:sz w:val="24"/>
          <w:szCs w:val="24"/>
          <w:highlight w:val="none"/>
        </w:rPr>
      </w:pPr>
      <w:r>
        <w:rPr>
          <w:color w:val="auto"/>
          <w:sz w:val="24"/>
          <w:szCs w:val="24"/>
          <w:highlight w:val="none"/>
        </w:rPr>
        <w:t>供应商名称（公章）</w:t>
      </w:r>
    </w:p>
    <w:p>
      <w:pPr>
        <w:tabs>
          <w:tab w:val="left" w:pos="6300"/>
        </w:tabs>
        <w:snapToGrid w:val="0"/>
        <w:spacing w:line="312" w:lineRule="auto"/>
        <w:ind w:right="480" w:firstLine="570"/>
        <w:jc w:val="right"/>
        <w:rPr>
          <w:color w:val="auto"/>
          <w:sz w:val="24"/>
          <w:szCs w:val="24"/>
          <w:highlight w:val="none"/>
        </w:rPr>
      </w:pPr>
      <w:r>
        <w:rPr>
          <w:color w:val="auto"/>
          <w:sz w:val="24"/>
          <w:szCs w:val="24"/>
          <w:highlight w:val="none"/>
        </w:rPr>
        <w:t>年   月   日</w:t>
      </w:r>
    </w:p>
    <w:p>
      <w:pPr>
        <w:tabs>
          <w:tab w:val="left" w:pos="6300"/>
        </w:tabs>
        <w:snapToGrid w:val="0"/>
        <w:spacing w:line="312" w:lineRule="auto"/>
        <w:ind w:right="-1"/>
        <w:rPr>
          <w:color w:val="auto"/>
          <w:sz w:val="24"/>
          <w:szCs w:val="24"/>
          <w:highlight w:val="none"/>
        </w:rPr>
      </w:pPr>
      <w:r>
        <w:rPr>
          <w:color w:val="auto"/>
          <w:sz w:val="24"/>
          <w:szCs w:val="24"/>
          <w:highlight w:val="none"/>
        </w:rPr>
        <w:t xml:space="preserve">---------------------------------------------------------------------------   </w:t>
      </w:r>
    </w:p>
    <w:p>
      <w:pPr>
        <w:tabs>
          <w:tab w:val="left" w:pos="6300"/>
        </w:tabs>
        <w:snapToGrid w:val="0"/>
        <w:spacing w:line="312" w:lineRule="auto"/>
        <w:ind w:right="-1"/>
        <w:rPr>
          <w:color w:val="auto"/>
          <w:sz w:val="24"/>
          <w:szCs w:val="24"/>
          <w:highlight w:val="none"/>
        </w:rPr>
      </w:pPr>
    </w:p>
    <w:p>
      <w:pPr>
        <w:tabs>
          <w:tab w:val="left" w:pos="6300"/>
        </w:tabs>
        <w:snapToGrid w:val="0"/>
        <w:spacing w:line="312" w:lineRule="auto"/>
        <w:jc w:val="center"/>
        <w:rPr>
          <w:color w:val="auto"/>
          <w:sz w:val="24"/>
          <w:szCs w:val="24"/>
          <w:highlight w:val="none"/>
        </w:rPr>
      </w:pPr>
      <w:r>
        <w:rPr>
          <w:b/>
          <w:bCs/>
          <w:color w:val="auto"/>
          <w:sz w:val="24"/>
          <w:szCs w:val="24"/>
          <w:highlight w:val="none"/>
        </w:rPr>
        <w:t>法定代表人证明</w:t>
      </w:r>
    </w:p>
    <w:p>
      <w:pPr>
        <w:tabs>
          <w:tab w:val="left" w:pos="6300"/>
        </w:tabs>
        <w:snapToGrid w:val="0"/>
        <w:spacing w:line="312" w:lineRule="auto"/>
        <w:rPr>
          <w:color w:val="auto"/>
          <w:sz w:val="24"/>
          <w:szCs w:val="24"/>
          <w:highlight w:val="none"/>
        </w:rPr>
      </w:pPr>
      <w:r>
        <w:rPr>
          <w:color w:val="auto"/>
          <w:sz w:val="24"/>
          <w:szCs w:val="24"/>
          <w:highlight w:val="none"/>
        </w:rPr>
        <w:t>致：</w:t>
      </w:r>
      <w:r>
        <w:rPr>
          <w:color w:val="auto"/>
          <w:sz w:val="24"/>
          <w:szCs w:val="24"/>
          <w:highlight w:val="none"/>
          <w:u w:val="single"/>
        </w:rPr>
        <w:t xml:space="preserve">                     </w:t>
      </w:r>
      <w:r>
        <w:rPr>
          <w:color w:val="auto"/>
          <w:sz w:val="24"/>
          <w:szCs w:val="24"/>
          <w:highlight w:val="none"/>
        </w:rPr>
        <w:t>（采购人名称）：</w:t>
      </w:r>
    </w:p>
    <w:p>
      <w:pPr>
        <w:tabs>
          <w:tab w:val="left" w:pos="6300"/>
        </w:tabs>
        <w:snapToGrid w:val="0"/>
        <w:spacing w:line="312" w:lineRule="auto"/>
        <w:ind w:firstLine="480" w:firstLineChars="200"/>
        <w:rPr>
          <w:color w:val="auto"/>
          <w:sz w:val="24"/>
          <w:szCs w:val="24"/>
          <w:highlight w:val="none"/>
        </w:rPr>
      </w:pPr>
      <w:r>
        <w:rPr>
          <w:color w:val="auto"/>
          <w:sz w:val="24"/>
          <w:szCs w:val="24"/>
          <w:highlight w:val="none"/>
          <w:u w:val="single"/>
        </w:rPr>
        <w:t xml:space="preserve">            </w:t>
      </w:r>
      <w:r>
        <w:rPr>
          <w:color w:val="auto"/>
          <w:sz w:val="24"/>
          <w:szCs w:val="24"/>
          <w:highlight w:val="none"/>
        </w:rPr>
        <w:t>（法定代表人名称及身份证代码）是</w:t>
      </w:r>
      <w:r>
        <w:rPr>
          <w:color w:val="auto"/>
          <w:sz w:val="24"/>
          <w:szCs w:val="24"/>
          <w:highlight w:val="none"/>
          <w:u w:val="single"/>
        </w:rPr>
        <w:t xml:space="preserve">                    </w:t>
      </w:r>
      <w:r>
        <w:rPr>
          <w:color w:val="auto"/>
          <w:sz w:val="24"/>
          <w:szCs w:val="24"/>
          <w:highlight w:val="none"/>
        </w:rPr>
        <w:t>（供应商名称）的法定代表人，电话</w:t>
      </w:r>
      <w:r>
        <w:rPr>
          <w:color w:val="auto"/>
          <w:sz w:val="24"/>
          <w:szCs w:val="24"/>
          <w:highlight w:val="none"/>
          <w:u w:val="single"/>
        </w:rPr>
        <w:t xml:space="preserve">          </w:t>
      </w:r>
      <w:r>
        <w:rPr>
          <w:color w:val="auto"/>
          <w:sz w:val="24"/>
          <w:szCs w:val="24"/>
          <w:highlight w:val="none"/>
        </w:rPr>
        <w:t>代表我单位全权办理上述项目的询比、签约等具体工作，并签署全部有关文件、协议及合同。签字负全部责任。</w:t>
      </w:r>
    </w:p>
    <w:p>
      <w:pPr>
        <w:tabs>
          <w:tab w:val="left" w:pos="6300"/>
        </w:tabs>
        <w:snapToGrid w:val="0"/>
        <w:spacing w:line="312" w:lineRule="auto"/>
        <w:ind w:firstLine="570"/>
        <w:rPr>
          <w:color w:val="auto"/>
          <w:sz w:val="24"/>
          <w:szCs w:val="24"/>
          <w:highlight w:val="none"/>
        </w:rPr>
      </w:pPr>
    </w:p>
    <w:p>
      <w:pPr>
        <w:tabs>
          <w:tab w:val="left" w:pos="6300"/>
        </w:tabs>
        <w:snapToGrid w:val="0"/>
        <w:spacing w:line="312" w:lineRule="auto"/>
        <w:ind w:firstLine="570"/>
        <w:rPr>
          <w:color w:val="auto"/>
          <w:sz w:val="24"/>
          <w:szCs w:val="24"/>
          <w:highlight w:val="none"/>
        </w:rPr>
      </w:pPr>
    </w:p>
    <w:p>
      <w:pPr>
        <w:tabs>
          <w:tab w:val="left" w:pos="6300"/>
        </w:tabs>
        <w:snapToGrid w:val="0"/>
        <w:spacing w:line="312" w:lineRule="auto"/>
        <w:ind w:firstLine="570"/>
        <w:rPr>
          <w:color w:val="auto"/>
          <w:sz w:val="24"/>
          <w:szCs w:val="24"/>
          <w:highlight w:val="none"/>
        </w:rPr>
      </w:pPr>
      <w:r>
        <w:rPr>
          <w:color w:val="auto"/>
          <w:sz w:val="24"/>
          <w:szCs w:val="24"/>
          <w:highlight w:val="none"/>
        </w:rPr>
        <w:t>法定代表人（签字或盖章）：                       供应商名称（公章）</w:t>
      </w:r>
    </w:p>
    <w:p>
      <w:pPr>
        <w:tabs>
          <w:tab w:val="left" w:pos="6300"/>
        </w:tabs>
        <w:snapToGrid w:val="0"/>
        <w:spacing w:line="312" w:lineRule="auto"/>
        <w:ind w:right="360" w:firstLine="570"/>
        <w:jc w:val="right"/>
        <w:rPr>
          <w:color w:val="auto"/>
          <w:sz w:val="24"/>
          <w:szCs w:val="24"/>
          <w:highlight w:val="none"/>
        </w:rPr>
      </w:pPr>
      <w:r>
        <w:rPr>
          <w:color w:val="auto"/>
          <w:sz w:val="24"/>
          <w:szCs w:val="24"/>
          <w:highlight w:val="none"/>
        </w:rPr>
        <w:t>年   月   日</w:t>
      </w:r>
    </w:p>
    <w:p>
      <w:pPr>
        <w:tabs>
          <w:tab w:val="left" w:pos="6300"/>
        </w:tabs>
        <w:snapToGrid w:val="0"/>
        <w:spacing w:line="312" w:lineRule="auto"/>
        <w:ind w:firstLine="570"/>
        <w:rPr>
          <w:color w:val="auto"/>
          <w:sz w:val="24"/>
          <w:szCs w:val="24"/>
          <w:highlight w:val="none"/>
        </w:rPr>
      </w:pPr>
      <w:r>
        <w:rPr>
          <w:color w:val="auto"/>
          <w:sz w:val="24"/>
          <w:szCs w:val="24"/>
          <w:highlight w:val="none"/>
        </w:rPr>
        <w:t>（附：法定代表人身份证正反面复印件）</w:t>
      </w:r>
    </w:p>
    <w:p>
      <w:pPr>
        <w:tabs>
          <w:tab w:val="left" w:pos="6300"/>
        </w:tabs>
        <w:snapToGrid w:val="0"/>
        <w:spacing w:line="312" w:lineRule="auto"/>
        <w:rPr>
          <w:color w:val="auto"/>
          <w:sz w:val="24"/>
          <w:szCs w:val="24"/>
          <w:highlight w:val="none"/>
        </w:rPr>
      </w:pPr>
    </w:p>
    <w:p>
      <w:pPr>
        <w:tabs>
          <w:tab w:val="left" w:pos="6300"/>
        </w:tabs>
        <w:snapToGrid w:val="0"/>
        <w:spacing w:line="312" w:lineRule="auto"/>
        <w:rPr>
          <w:color w:val="auto"/>
          <w:sz w:val="24"/>
          <w:szCs w:val="24"/>
          <w:highlight w:val="none"/>
        </w:rPr>
      </w:pPr>
    </w:p>
    <w:p>
      <w:pPr>
        <w:tabs>
          <w:tab w:val="left" w:pos="6300"/>
        </w:tabs>
        <w:snapToGrid w:val="0"/>
        <w:spacing w:line="312" w:lineRule="auto"/>
        <w:ind w:right="480" w:firstLine="570"/>
        <w:jc w:val="center"/>
        <w:rPr>
          <w:color w:val="auto"/>
        </w:rPr>
      </w:pPr>
      <w:r>
        <w:rPr>
          <w:color w:val="auto"/>
          <w:sz w:val="24"/>
          <w:szCs w:val="24"/>
          <w:highlight w:val="none"/>
        </w:rPr>
        <w:t>（结束）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286385" cy="147955"/>
                      </a:xfrm>
                      <a:prstGeom prst="rect">
                        <a:avLst/>
                      </a:prstGeom>
                      <a:noFill/>
                      <a:ln>
                        <a:noFill/>
                      </a:ln>
                      <a:effectLst/>
                    </wps:spPr>
                    <wps:txbx>
                      <w:txbxContent>
                        <w:p>
                          <w:pPr>
                            <w:pStyle w:val="6"/>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- 6 -</w:t>
                          </w:r>
                          <w:r>
                            <w:rPr>
                              <w:rFonts w:ascii="宋体" w:hAnsi="宋体" w:cs="宋体"/>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B//GzHSAAAAAwEAAA8AAAAAAAAAAQAgAAAAOAAAAGRy&#10;cy9kb3ducmV2LnhtbFBLAQIUABQAAAAIAIdO4kDFVKhhvAEAAF0DAAAOAAAAAAAAAAEAIAAAADcB&#10;AABkcnMvZTJvRG9jLnhtbFBLBQYAAAAABgAGAFkBAABlBQAAAAA=&#10;">
              <v:fill on="f" focussize="0,0"/>
              <v:stroke on="f"/>
              <v:imagedata o:title=""/>
              <o:lock v:ext="edit" aspectratio="f"/>
              <v:textbox inset="0mm,0mm,0mm,0mm" style="mso-fit-shape-to-text:t;">
                <w:txbxContent>
                  <w:p>
                    <w:pPr>
                      <w:pStyle w:val="6"/>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- 6 -</w:t>
                    </w:r>
                    <w:r>
                      <w:rPr>
                        <w:rFonts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219DE2"/>
    <w:multiLevelType w:val="singleLevel"/>
    <w:tmpl w:val="98219DE2"/>
    <w:lvl w:ilvl="0" w:tentative="0">
      <w:start w:val="2"/>
      <w:numFmt w:val="decimal"/>
      <w:suff w:val="nothing"/>
      <w:lvlText w:val="%1、"/>
      <w:lvlJc w:val="left"/>
    </w:lvl>
  </w:abstractNum>
  <w:abstractNum w:abstractNumId="1">
    <w:nsid w:val="C83BA7BF"/>
    <w:multiLevelType w:val="singleLevel"/>
    <w:tmpl w:val="C83BA7BF"/>
    <w:lvl w:ilvl="0" w:tentative="0">
      <w:start w:val="1"/>
      <w:numFmt w:val="decimal"/>
      <w:suff w:val="nothing"/>
      <w:lvlText w:val="（%1）"/>
      <w:lvlJc w:val="left"/>
    </w:lvl>
  </w:abstractNum>
  <w:abstractNum w:abstractNumId="2">
    <w:nsid w:val="E0DFE966"/>
    <w:multiLevelType w:val="singleLevel"/>
    <w:tmpl w:val="E0DFE966"/>
    <w:lvl w:ilvl="0" w:tentative="0">
      <w:start w:val="11"/>
      <w:numFmt w:val="chineseCounting"/>
      <w:suff w:val="nothing"/>
      <w:lvlText w:val="%1、"/>
      <w:lvlJc w:val="left"/>
      <w:rPr>
        <w:rFonts w:hint="eastAsia"/>
      </w:rPr>
    </w:lvl>
  </w:abstractNum>
  <w:abstractNum w:abstractNumId="3">
    <w:nsid w:val="4301DD92"/>
    <w:multiLevelType w:val="singleLevel"/>
    <w:tmpl w:val="4301DD92"/>
    <w:lvl w:ilvl="0" w:tentative="0">
      <w:start w:val="1"/>
      <w:numFmt w:val="chineseCounting"/>
      <w:suff w:val="nothing"/>
      <w:lvlText w:val="%1、"/>
      <w:lvlJc w:val="left"/>
      <w:rPr>
        <w:rFonts w:hint="eastAsia"/>
      </w:rPr>
    </w:lvl>
  </w:abstractNum>
  <w:abstractNum w:abstractNumId="4">
    <w:nsid w:val="4FA81CFE"/>
    <w:multiLevelType w:val="singleLevel"/>
    <w:tmpl w:val="4FA81CFE"/>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70F59"/>
    <w:rsid w:val="00802145"/>
    <w:rsid w:val="049234D0"/>
    <w:rsid w:val="060B0A73"/>
    <w:rsid w:val="082F4660"/>
    <w:rsid w:val="08890F87"/>
    <w:rsid w:val="09FE5733"/>
    <w:rsid w:val="0ABA62BA"/>
    <w:rsid w:val="0B275F2E"/>
    <w:rsid w:val="0B462B87"/>
    <w:rsid w:val="0C023C02"/>
    <w:rsid w:val="0D044C50"/>
    <w:rsid w:val="0E4234EC"/>
    <w:rsid w:val="0E8009E3"/>
    <w:rsid w:val="0F416DFB"/>
    <w:rsid w:val="0F84358D"/>
    <w:rsid w:val="10B60937"/>
    <w:rsid w:val="110F2FB7"/>
    <w:rsid w:val="12740776"/>
    <w:rsid w:val="13DC4AFA"/>
    <w:rsid w:val="1469556F"/>
    <w:rsid w:val="17445C94"/>
    <w:rsid w:val="182A6F26"/>
    <w:rsid w:val="1A2C3CEF"/>
    <w:rsid w:val="1AEE2877"/>
    <w:rsid w:val="1C8E76AA"/>
    <w:rsid w:val="1D5E345F"/>
    <w:rsid w:val="1D8F5BF8"/>
    <w:rsid w:val="1DDB7A0B"/>
    <w:rsid w:val="1DFB1CA0"/>
    <w:rsid w:val="1F0D1F96"/>
    <w:rsid w:val="213370C2"/>
    <w:rsid w:val="213B601A"/>
    <w:rsid w:val="25544B24"/>
    <w:rsid w:val="255F6AB2"/>
    <w:rsid w:val="26AC62CB"/>
    <w:rsid w:val="2ABD1C28"/>
    <w:rsid w:val="2B655D64"/>
    <w:rsid w:val="2BA50D08"/>
    <w:rsid w:val="2BE245B3"/>
    <w:rsid w:val="2C50529F"/>
    <w:rsid w:val="2C6716A3"/>
    <w:rsid w:val="2C975C2D"/>
    <w:rsid w:val="2D0D6A55"/>
    <w:rsid w:val="2D2E22FB"/>
    <w:rsid w:val="2DBB44B7"/>
    <w:rsid w:val="2DCF33BD"/>
    <w:rsid w:val="2ED27C55"/>
    <w:rsid w:val="2F27013A"/>
    <w:rsid w:val="2FA70F59"/>
    <w:rsid w:val="2FFD6BF7"/>
    <w:rsid w:val="3079069E"/>
    <w:rsid w:val="30D2394D"/>
    <w:rsid w:val="331406F1"/>
    <w:rsid w:val="341621D1"/>
    <w:rsid w:val="34805082"/>
    <w:rsid w:val="36151DC3"/>
    <w:rsid w:val="3682160D"/>
    <w:rsid w:val="36CB60A5"/>
    <w:rsid w:val="379209FA"/>
    <w:rsid w:val="389524E8"/>
    <w:rsid w:val="392168B7"/>
    <w:rsid w:val="393509BA"/>
    <w:rsid w:val="3BC83FB5"/>
    <w:rsid w:val="3BE738B8"/>
    <w:rsid w:val="3CCA55BD"/>
    <w:rsid w:val="3D401E21"/>
    <w:rsid w:val="3D527A7B"/>
    <w:rsid w:val="3F3575BA"/>
    <w:rsid w:val="40F31F99"/>
    <w:rsid w:val="41B16C1D"/>
    <w:rsid w:val="41B6202F"/>
    <w:rsid w:val="42E34851"/>
    <w:rsid w:val="45703F09"/>
    <w:rsid w:val="45EC26BA"/>
    <w:rsid w:val="462D7AA4"/>
    <w:rsid w:val="471C0DA7"/>
    <w:rsid w:val="48A03C5F"/>
    <w:rsid w:val="4985043A"/>
    <w:rsid w:val="49C53257"/>
    <w:rsid w:val="4A6D71B5"/>
    <w:rsid w:val="4C0F03B2"/>
    <w:rsid w:val="4D1276FB"/>
    <w:rsid w:val="4E3A5AD4"/>
    <w:rsid w:val="4EAF2842"/>
    <w:rsid w:val="4F26076C"/>
    <w:rsid w:val="4FFD0AE3"/>
    <w:rsid w:val="50EC5C1E"/>
    <w:rsid w:val="51EA72BF"/>
    <w:rsid w:val="52F445A8"/>
    <w:rsid w:val="53390245"/>
    <w:rsid w:val="55EA21B4"/>
    <w:rsid w:val="56ED82E8"/>
    <w:rsid w:val="57090F13"/>
    <w:rsid w:val="57E00B22"/>
    <w:rsid w:val="58A01360"/>
    <w:rsid w:val="5AC21A8E"/>
    <w:rsid w:val="5BBB59E6"/>
    <w:rsid w:val="5C860849"/>
    <w:rsid w:val="5CEE5E83"/>
    <w:rsid w:val="5D122381"/>
    <w:rsid w:val="5D1C406B"/>
    <w:rsid w:val="5D9E2DDF"/>
    <w:rsid w:val="5E180FA1"/>
    <w:rsid w:val="5EF80421"/>
    <w:rsid w:val="5FBF1944"/>
    <w:rsid w:val="608852C4"/>
    <w:rsid w:val="61E464D7"/>
    <w:rsid w:val="623473B2"/>
    <w:rsid w:val="627532AB"/>
    <w:rsid w:val="629B0C75"/>
    <w:rsid w:val="62E8582C"/>
    <w:rsid w:val="638970A7"/>
    <w:rsid w:val="639311D3"/>
    <w:rsid w:val="65D959CF"/>
    <w:rsid w:val="67165DFD"/>
    <w:rsid w:val="68CC703B"/>
    <w:rsid w:val="68E819CE"/>
    <w:rsid w:val="693348A6"/>
    <w:rsid w:val="6960675C"/>
    <w:rsid w:val="6C3F4552"/>
    <w:rsid w:val="6C411C8E"/>
    <w:rsid w:val="6D0F08BA"/>
    <w:rsid w:val="6E3A53FB"/>
    <w:rsid w:val="6EB6526A"/>
    <w:rsid w:val="6F2641C1"/>
    <w:rsid w:val="6F8635CE"/>
    <w:rsid w:val="6FABE987"/>
    <w:rsid w:val="6FF64FFF"/>
    <w:rsid w:val="70412890"/>
    <w:rsid w:val="72CD4EA3"/>
    <w:rsid w:val="72FE18A3"/>
    <w:rsid w:val="76EA2EEC"/>
    <w:rsid w:val="77B74944"/>
    <w:rsid w:val="789429F2"/>
    <w:rsid w:val="79D777D0"/>
    <w:rsid w:val="79D90D87"/>
    <w:rsid w:val="7A6D14DE"/>
    <w:rsid w:val="7BF006E0"/>
    <w:rsid w:val="7CCD6170"/>
    <w:rsid w:val="7F067A9B"/>
    <w:rsid w:val="7F233F3F"/>
    <w:rsid w:val="7FC9303B"/>
    <w:rsid w:val="7FF82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99"/>
    <w:pPr>
      <w:keepNext/>
      <w:keepLines/>
      <w:spacing w:before="260" w:after="260" w:line="413"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rFonts w:ascii="仿宋_GB2312" w:eastAsia="仿宋_GB2312" w:cs="仿宋_GB2312"/>
      <w:sz w:val="32"/>
      <w:szCs w:val="32"/>
    </w:rPr>
  </w:style>
  <w:style w:type="paragraph" w:styleId="4">
    <w:name w:val="Body Text Indent"/>
    <w:basedOn w:val="1"/>
    <w:qFormat/>
    <w:uiPriority w:val="99"/>
    <w:pPr>
      <w:spacing w:line="700" w:lineRule="exact"/>
      <w:ind w:left="960"/>
    </w:pPr>
    <w:rPr>
      <w:sz w:val="44"/>
      <w:szCs w:val="44"/>
    </w:rPr>
  </w:style>
  <w:style w:type="paragraph" w:styleId="5">
    <w:name w:val="Body Text Indent 2"/>
    <w:basedOn w:val="1"/>
    <w:qFormat/>
    <w:uiPriority w:val="0"/>
    <w:pPr>
      <w:snapToGrid w:val="0"/>
      <w:spacing w:line="560" w:lineRule="atLeast"/>
      <w:ind w:firstLine="540"/>
    </w:pPr>
    <w:rPr>
      <w:sz w:val="28"/>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qFormat/>
    <w:uiPriority w:val="99"/>
    <w:pPr>
      <w:spacing w:line="180" w:lineRule="auto"/>
      <w:jc w:val="center"/>
    </w:pPr>
    <w:rPr>
      <w:sz w:val="30"/>
      <w:szCs w:val="30"/>
    </w:rPr>
  </w:style>
  <w:style w:type="paragraph" w:styleId="9">
    <w:name w:val="Body Text 2"/>
    <w:basedOn w:val="1"/>
    <w:qFormat/>
    <w:uiPriority w:val="99"/>
    <w:pPr>
      <w:adjustRightInd w:val="0"/>
      <w:snapToGrid w:val="0"/>
      <w:spacing w:after="120" w:line="480" w:lineRule="auto"/>
    </w:pPr>
    <w:rPr>
      <w:sz w:val="24"/>
      <w:szCs w:val="24"/>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区水利局</Company>
  <Pages>1</Pages>
  <Words>0</Words>
  <Characters>0</Characters>
  <Lines>0</Lines>
  <Paragraphs>0</Paragraphs>
  <TotalTime>94</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2021-01-07T11:15:00Z</dcterms:created>
  <dc:creator>SLJ111</dc:creator>
  <cp:lastModifiedBy>uos</cp:lastModifiedBy>
  <cp:lastPrinted>2022-03-04T09:46:00Z</cp:lastPrinted>
  <dcterms:modified xsi:type="dcterms:W3CDTF">2023-03-20T15:29:48Z</dcterms:modified>
  <dc:title>北碚区水利工程安全生产监督检查及培训</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2BA181009E444AFFAC27D099D495A0E3</vt:lpwstr>
  </property>
</Properties>
</file>