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380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418D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ascii="方正小标宋_GBK" w:eastAsia="方正小标宋_GBK" w:cs="Times New Roman"/>
          <w:w w:val="90"/>
          <w:kern w:val="2"/>
          <w:sz w:val="44"/>
          <w:szCs w:val="44"/>
        </w:rPr>
      </w:pPr>
    </w:p>
    <w:p w14:paraId="4C063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496" w:leftChars="200" w:right="631" w:rightChars="263" w:hanging="16" w:firstLineChars="0"/>
        <w:jc w:val="distribute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eastAsia="zh-CN"/>
        </w:rPr>
        <w:t>重庆市北碚区发展和改革委员会</w:t>
      </w:r>
    </w:p>
    <w:p w14:paraId="04253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496" w:leftChars="200" w:right="631" w:rightChars="263" w:hanging="16" w:firstLineChars="0"/>
        <w:jc w:val="distribute"/>
        <w:textAlignment w:val="auto"/>
        <w:outlineLvl w:val="9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重庆市北碚区财政局</w:t>
      </w:r>
    </w:p>
    <w:p w14:paraId="6487E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印发《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北碚区促进现代生产性服务业高质量发展惠企政策九条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》的通知</w:t>
      </w:r>
    </w:p>
    <w:p w14:paraId="4C191E4C">
      <w:pPr>
        <w:keepNext w:val="0"/>
        <w:keepLines w:val="0"/>
        <w:pageBreakBefore w:val="0"/>
        <w:widowControl w:val="0"/>
        <w:tabs>
          <w:tab w:val="left" w:pos="36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90"/>
          <w:kern w:val="2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北碚发改﹝20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﹞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108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号</w:t>
      </w:r>
    </w:p>
    <w:p w14:paraId="79EB8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600" w:lineRule="exact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01280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各街道办事处、镇人民政府，区政府各部门、园城管委会，各在</w:t>
      </w:r>
    </w:p>
    <w:p w14:paraId="02A50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碚市属部门，有关单位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：</w:t>
      </w:r>
    </w:p>
    <w:p w14:paraId="10A814C4">
      <w:pPr>
        <w:keepNext w:val="0"/>
        <w:keepLines w:val="0"/>
        <w:pageBreakBefore w:val="0"/>
        <w:widowControl w:val="0"/>
        <w:tabs>
          <w:tab w:val="left" w:pos="99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GB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GB" w:eastAsia="zh-CN"/>
        </w:rPr>
        <w:t>根据《重庆市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支持现代生产性服务业高质量发展若干政策措施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GB" w:eastAsia="zh-CN"/>
        </w:rPr>
        <w:t>》（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渝发改规范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GB" w:eastAsia="zh-CN"/>
        </w:rPr>
        <w:t>〔202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GB" w:eastAsia="zh-CN"/>
        </w:rPr>
        <w:t>〕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GB" w:eastAsia="zh-CN"/>
        </w:rPr>
        <w:t>号），重庆市北碚区发展和改革委员会、重庆市北碚区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财政局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GB" w:eastAsia="zh-CN"/>
        </w:rPr>
        <w:t>牵头制定了《北碚区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促进现代生产性服务业高质量发展惠企政策九条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GB" w:eastAsia="zh-CN"/>
        </w:rPr>
        <w:t>》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GB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经区委区政府审议同意，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GB" w:eastAsia="zh-CN"/>
        </w:rPr>
        <w:t>现印发你们，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请认真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GB" w:eastAsia="zh-CN"/>
        </w:rPr>
        <w:t>贯彻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执行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GB" w:eastAsia="zh-CN"/>
        </w:rPr>
        <w:t>。</w:t>
      </w:r>
    </w:p>
    <w:p w14:paraId="0C0691C5">
      <w:pPr>
        <w:keepNext w:val="0"/>
        <w:keepLines w:val="0"/>
        <w:pageBreakBefore w:val="0"/>
        <w:widowControl w:val="0"/>
        <w:tabs>
          <w:tab w:val="left" w:pos="990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GB" w:eastAsia="zh-CN"/>
        </w:rPr>
      </w:pPr>
    </w:p>
    <w:p w14:paraId="502FA961">
      <w:pPr>
        <w:keepNext w:val="0"/>
        <w:keepLines w:val="0"/>
        <w:pageBreakBefore w:val="0"/>
        <w:widowControl w:val="0"/>
        <w:tabs>
          <w:tab w:val="left" w:pos="990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GB" w:eastAsia="zh-CN"/>
        </w:rPr>
      </w:pPr>
    </w:p>
    <w:p w14:paraId="3C24F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600" w:lineRule="exact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GB" w:eastAsia="zh-CN" w:bidi="ar-SA"/>
        </w:rPr>
      </w:pPr>
    </w:p>
    <w:p w14:paraId="291129D2">
      <w:pPr>
        <w:keepNext w:val="0"/>
        <w:keepLines w:val="0"/>
        <w:pageBreakBefore w:val="0"/>
        <w:widowControl w:val="0"/>
        <w:tabs>
          <w:tab w:val="left" w:pos="990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GB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GB" w:eastAsia="zh-CN"/>
        </w:rPr>
        <w:t>重庆市北碚区发展和改革委员会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 xml:space="preserve">       重庆市北碚区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财政局</w:t>
      </w:r>
    </w:p>
    <w:p w14:paraId="5E44CD6C">
      <w:pPr>
        <w:keepNext w:val="0"/>
        <w:keepLines w:val="0"/>
        <w:pageBreakBefore w:val="0"/>
        <w:widowControl w:val="0"/>
        <w:tabs>
          <w:tab w:val="left" w:pos="99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5760" w:firstLineChars="18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GB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GB" w:eastAsia="zh-CN"/>
        </w:rPr>
        <w:t>20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GB" w:eastAsia="zh-CN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GB" w:eastAsia="zh-CN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GB" w:eastAsia="zh-CN"/>
        </w:rPr>
        <w:t>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 </w:t>
      </w:r>
    </w:p>
    <w:p w14:paraId="1838F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  <w:bookmarkStart w:id="0" w:name="_GoBack"/>
      <w:bookmarkEnd w:id="0"/>
    </w:p>
    <w:p w14:paraId="5A0E8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北碚区促进现代生产性服务业高质量发展</w:t>
      </w:r>
    </w:p>
    <w:p w14:paraId="03D66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惠企政策九条</w:t>
      </w:r>
    </w:p>
    <w:p w14:paraId="4471A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</w:p>
    <w:p w14:paraId="390D9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为深入贯彻落实国家、市级决策部署，加快推动北碚区现代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生产性服务业向专业化和价值链高端延伸，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结合《重庆市支持现代生产性服务业高质量发展若干政策措施》（渝发改规范〔2024〕7号）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《重庆市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北碚区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加速推进现代生产性服务业高质量发展行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动方案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（2024—2027年）》（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北碚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府发〔2024〕18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等文件精神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，特制定如下支持措施。</w:t>
      </w:r>
    </w:p>
    <w:p w14:paraId="23C80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一、鼓励产业集聚发展</w:t>
      </w:r>
    </w:p>
    <w:p w14:paraId="31057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FF000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鼓励强链补链整合优质资源，打造现代生产性服务业集聚区。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对集聚区内入驻的重点项目、平台和企业，给予资金、人才和用地支持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优先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推荐争取中央预算内投资、专项债、特别国债及国家级试点示范项目支持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鼓励集聚区运营机构给予入驻企业租金减免、购房装修、网络通讯等支持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对于年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度评估为A等级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的市级现代生产性服务业集聚区，分档次给予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100万—500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万元奖励。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（牵头单位：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发展改革委，责任单位：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现代生产性服务业高质量发展专项工作机制成员单位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  <w:t>）</w:t>
      </w:r>
    </w:p>
    <w:p w14:paraId="263EE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二、支持重点项目建设</w:t>
      </w:r>
    </w:p>
    <w:p w14:paraId="69079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支持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现代生产性服务业重点项目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建设，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对入选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市级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现代生产性服务业重点项目库且建设进度符合条件的项目，按照经核定的投资金额给予一次性补助，单个项目的支持金额原则上不超过项目投资总额的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，支持金额不超过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00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经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政府同意，特别重大的项目可提高，但最高支持金额原则上不超过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00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万元。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（牵头单位：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发展改革委，责任单位：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现代生产性服务业高质量发展专项工作机制成员单位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  <w:t>）</w:t>
      </w:r>
    </w:p>
    <w:p w14:paraId="030D3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三、支持平台载体建设</w:t>
      </w:r>
    </w:p>
    <w:p w14:paraId="0CFC7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支持现代生产性服务业领域共性技术研发、成果转化、工业设计、供应链管理、知识产权运营、品牌营销、检验检测认证等领域公共服务平台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载体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建设，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对于得到市级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现代生产性服务业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奖励资金的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公共服务平台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投资额超过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500万元的，按不超过投资额的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0%给予补助，最高不超过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00万元。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/>
        </w:rPr>
        <w:t>（牵头单位：区发展改革委，责任单位：区现代生产性服务业高质量发展专项工作机制成员单位）</w:t>
      </w:r>
    </w:p>
    <w:p w14:paraId="6B08F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四、支持星级楼宇打造</w:t>
      </w:r>
    </w:p>
    <w:p w14:paraId="6E21E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对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年度营业收入增速较快的“星级”楼宇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分档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给予楼宇运营机构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0万元、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定额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奖励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鼓励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楼宇运营机构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完善配套服务功能，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按照“拎包入住”标准打造楼宇空间。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/>
        </w:rPr>
        <w:t>牵头单位：区发展改革委、区经信委、区商务委，责任单位：区现代生产性服务业高质量发展专项工作机制成员单位）</w:t>
      </w:r>
    </w:p>
    <w:p w14:paraId="260B3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五、强化市场主体培育</w:t>
      </w:r>
    </w:p>
    <w:p w14:paraId="64C59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鼓励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各行业部门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培育规模以上生产性服务业企业，对每年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新增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规上服务业企业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存量服务业企业按照相应标准实施资金奖励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。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/>
        </w:rPr>
        <w:t>牵头单位：区发展改革委，责任单位：区现代生产性服务业高质量发展专项工作机制成员单位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  <w:t>）</w:t>
      </w:r>
    </w:p>
    <w:p w14:paraId="4763C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六、支持招引优质企业</w:t>
      </w:r>
    </w:p>
    <w:p w14:paraId="4A666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鼓励培育一批优质企业、标志性项目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和品牌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鼓励引培“中国服务业企业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500强”（中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企联发布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）、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“重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庆市服务业企业100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强”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（市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企联发布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）等，每新增1家首次入选的生产性服务业企业，给予企业200万元、100万元奖励。鼓励制造业企业主辅分离，剥离现代物流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节能环保、检验检测等业务设立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生产性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服务业独立法人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企业，对分离后新设立的生产性服务业企业，年营业收入达到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2000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万元以上的给予一次性奖励，最高不超过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万元。支持生产性服务业中小企业向“专精特新”转型发展。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/>
        </w:rPr>
        <w:t>（牵头单位：区发展改革委，责任单位：区现代生产性服务业高质量发展专项工作机制成员单位）</w:t>
      </w:r>
    </w:p>
    <w:p w14:paraId="64B09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七、强化金融服务供给</w:t>
      </w:r>
    </w:p>
    <w:p w14:paraId="4F0CD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加大政府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产业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基金对现代生产性服务业企业、项目和集聚区建设的支持力度。鼓励银行、担保、保险等金融机构围绕生产性服务业开发针对性融资产品，创新知识产权质押贷款、“科创贷”等贷款产品，丰富“再贷款+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”“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再贴现+”产品体系，切实降低生产性服务业企业融资成本。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/>
        </w:rPr>
        <w:t>（牵头单位：区金融发展中心，责任单位：区现代生产性服务业高质量发展专项工作机制成员单位）</w:t>
      </w:r>
    </w:p>
    <w:p w14:paraId="63779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八、强化人才支撑保障</w:t>
      </w:r>
    </w:p>
    <w:p w14:paraId="5E852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支持发展软件和信息服务、法律、会计、咨询、设计等人力和知识密集型服务业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迭代升级生产性服务业急需紧缺人才目录，通过“揭榜挂帅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”“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揭榜招贤”等方式引进高层次现代生产性服务业人才、领军型创新创业团队等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深化落实“碚有引力”“缙云英才”行动计划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。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/>
        </w:rPr>
        <w:t>牵头单位：区委人才办、区人力社保局，责任单位：区现代生产性服务业高质量发展专项工作机制成员单位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）</w:t>
      </w:r>
    </w:p>
    <w:p w14:paraId="65FAE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九、优化产业发展生态</w:t>
      </w:r>
    </w:p>
    <w:p w14:paraId="105DB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深化开放合作，支持通过产业联动、平台联建、活动联办、品牌联创等方式，搭建更多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内企业“走出去”、市外企业“引进来”的合作交流平台。支持举办生产性服务业领域全国性行业协会年会、产业联盟峰会、圆桌会、研讨会、论坛、推介会等系列活动。支持行业协会发展，充分发挥政府采购作用，鼓励相关部门购买行业领域社会组织服务。搭建行业协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商会互学互鉴平台。加强用地保障，盘活存量低效用地，鼓励采用长期租赁、先租后让、弹性年期出让等灵活的供地方式支持生产性服务业发展。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鼓励工业企业利用存量房产、土地兴办生产性服务业、创新创业平台等新产业、新业态建设项目。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  <w:t>牵头单位：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/>
        </w:rPr>
        <w:t>区发展改革委、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  <w:t>区规划自然资源局，责任单位：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/>
        </w:rPr>
        <w:t>区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  <w:t>现代生产性服务业高质量发展专项工作机制成员单位）</w:t>
      </w:r>
    </w:p>
    <w:p w14:paraId="7D9EF9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0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/>
        </w:rPr>
        <w:t xml:space="preserve">  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本政策自发布之日起施行，有效期至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2027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日</w:t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/>
        </w:rPr>
        <w:t>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29E94E9-643A-4F2C-96BC-34CEEA664E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649438F-6239-441E-BC4E-2450D8CFF13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A313038-7781-477B-9D78-9D94DE85A4C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7FD11C3-5E1F-4743-8199-ABCD8EBB6EA4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EB26113C-6603-41CD-B3F6-8770142C97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FE07A">
    <w:pPr>
      <w:pStyle w:val="8"/>
      <w:ind w:left="5472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FB66B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4FB66B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103718A">
    <w:pPr>
      <w:pStyle w:val="8"/>
      <w:ind w:left="5472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561975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442.5pt;z-index:251660288;mso-width-relative:page;mso-height-relative:page;" filled="f" stroked="t" coordsize="21600,21600" o:gfxdata="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c09PfUAAAA&#10;CAEAAA8AAAAAAAAAAQAgAAAAIgAAAGRycy9kb3ducmV2LnhtbFBLAQIUABQAAAAIAIdO4kCSzRxK&#10;6AEAALQDAAAOAAAAAAAAAAEAIAAAACMBAABkcnMvZTJvRG9jLnhtbFBLBQYAAAAABgAGAFkBAAB9&#10;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7BC26D03">
    <w:pPr>
      <w:pStyle w:val="8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重庆市北碚区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发展和改革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503C2"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458470</wp:posOffset>
              </wp:positionV>
              <wp:extent cx="5619750" cy="381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5619750" cy="381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2pt;margin-top:36.1pt;height:0.3pt;width:442.5pt;z-index:251659264;mso-width-relative:page;mso-height-relative:page;" filled="f" stroked="t" coordsize="21600,21600" o:gfxdata="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RyXKF1wAAAAcBAAAPAAAAAAAAAAEAIAAAACIAAABkcnMvZG93bnJl&#10;di54bWxQSwECFAAUAAAACACHTuJAgaVnjf4BAADKAwAADgAAAAAAAAABACAAAAAmAQAAZHJzL2Uy&#10;b0RvYy54bWxQSwUGAAAAAAYABgBZAQAAl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 w:ascii="宋体" w:hAnsi="宋体" w:eastAsia="宋体" w:cs="宋体"/>
        <w:b/>
        <w:bCs/>
        <w:color w:val="005192"/>
        <w:sz w:val="32"/>
        <w:lang w:eastAsia="zh-Hans"/>
      </w:rPr>
      <w:t>重庆市北碚区</w:t>
    </w:r>
    <w:r>
      <w:rPr>
        <w:rFonts w:hint="eastAsia" w:ascii="宋体" w:hAnsi="宋体" w:cs="宋体"/>
        <w:b/>
        <w:bCs/>
        <w:color w:val="005192"/>
        <w:sz w:val="32"/>
        <w:lang w:eastAsia="zh-CN"/>
      </w:rPr>
      <w:t>发展和改革</w:t>
    </w:r>
    <w:r>
      <w:rPr>
        <w:rFonts w:hint="default" w:ascii="宋体" w:hAnsi="宋体" w:eastAsia="宋体" w:cs="宋体"/>
        <w:b/>
        <w:bCs/>
        <w:color w:val="005192"/>
        <w:sz w:val="32"/>
        <w:lang w:eastAsia="zh-Hans"/>
      </w:rPr>
      <w:t>委员会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TU0OThmNzFlZmI5MmYwNTUzZmY5ODNmMDlkNTg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604E70"/>
    <w:rsid w:val="0A766EDE"/>
    <w:rsid w:val="0AD57BB7"/>
    <w:rsid w:val="0AD64BE8"/>
    <w:rsid w:val="0AF52BD8"/>
    <w:rsid w:val="0B0912D7"/>
    <w:rsid w:val="0D132F22"/>
    <w:rsid w:val="0D594F01"/>
    <w:rsid w:val="0E025194"/>
    <w:rsid w:val="0EEF0855"/>
    <w:rsid w:val="0FEA29AF"/>
    <w:rsid w:val="11DB7C71"/>
    <w:rsid w:val="12984FBB"/>
    <w:rsid w:val="145361D7"/>
    <w:rsid w:val="152D2DCA"/>
    <w:rsid w:val="187168EA"/>
    <w:rsid w:val="196673CA"/>
    <w:rsid w:val="1AF67FF9"/>
    <w:rsid w:val="1CF734C9"/>
    <w:rsid w:val="1DEC284C"/>
    <w:rsid w:val="1E6523AC"/>
    <w:rsid w:val="1E786D7F"/>
    <w:rsid w:val="20C87B1E"/>
    <w:rsid w:val="219D1D9A"/>
    <w:rsid w:val="220C7696"/>
    <w:rsid w:val="22440422"/>
    <w:rsid w:val="22BB4BBB"/>
    <w:rsid w:val="244807D4"/>
    <w:rsid w:val="25473CB6"/>
    <w:rsid w:val="25EB1AF4"/>
    <w:rsid w:val="27291A5F"/>
    <w:rsid w:val="27F52041"/>
    <w:rsid w:val="2C5C1A8E"/>
    <w:rsid w:val="2DD05FE1"/>
    <w:rsid w:val="2DFA155F"/>
    <w:rsid w:val="2EAE3447"/>
    <w:rsid w:val="30AA3E9D"/>
    <w:rsid w:val="31A15F24"/>
    <w:rsid w:val="329E3CA6"/>
    <w:rsid w:val="36E3032C"/>
    <w:rsid w:val="36FB1DF0"/>
    <w:rsid w:val="37164F30"/>
    <w:rsid w:val="386306E8"/>
    <w:rsid w:val="395347B5"/>
    <w:rsid w:val="39A232A0"/>
    <w:rsid w:val="39E745AA"/>
    <w:rsid w:val="3B5A6BBB"/>
    <w:rsid w:val="3CA154E3"/>
    <w:rsid w:val="3E446852"/>
    <w:rsid w:val="3EDA13A6"/>
    <w:rsid w:val="3FF56C14"/>
    <w:rsid w:val="417B75E9"/>
    <w:rsid w:val="42430A63"/>
    <w:rsid w:val="42F058B7"/>
    <w:rsid w:val="436109F6"/>
    <w:rsid w:val="43880F63"/>
    <w:rsid w:val="441A38D4"/>
    <w:rsid w:val="44E64491"/>
    <w:rsid w:val="4504239D"/>
    <w:rsid w:val="468679DC"/>
    <w:rsid w:val="4BC77339"/>
    <w:rsid w:val="4BFA38AA"/>
    <w:rsid w:val="4C9236C5"/>
    <w:rsid w:val="4CE0596C"/>
    <w:rsid w:val="4E250A85"/>
    <w:rsid w:val="4FB530E0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A315A59"/>
    <w:rsid w:val="5DC34279"/>
    <w:rsid w:val="5FCD688E"/>
    <w:rsid w:val="5FF9BDAA"/>
    <w:rsid w:val="608816D1"/>
    <w:rsid w:val="60964868"/>
    <w:rsid w:val="60EF4E7F"/>
    <w:rsid w:val="648B0A32"/>
    <w:rsid w:val="658F6764"/>
    <w:rsid w:val="665233C1"/>
    <w:rsid w:val="68F43123"/>
    <w:rsid w:val="69AC0D42"/>
    <w:rsid w:val="6A7B3508"/>
    <w:rsid w:val="6AD9688B"/>
    <w:rsid w:val="6B68303F"/>
    <w:rsid w:val="6D0E3F22"/>
    <w:rsid w:val="732E2510"/>
    <w:rsid w:val="744E4660"/>
    <w:rsid w:val="753034D6"/>
    <w:rsid w:val="753355A2"/>
    <w:rsid w:val="759F1C61"/>
    <w:rsid w:val="768F0640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spacing w:before="240" w:beforeLines="0" w:after="60" w:afterLines="0"/>
      <w:outlineLvl w:val="1"/>
    </w:pPr>
    <w:rPr>
      <w:rFonts w:hint="default" w:ascii="Cambria" w:hAnsi="Cambria" w:eastAsia="黑体"/>
      <w:b/>
      <w:sz w:val="28"/>
    </w:rPr>
  </w:style>
  <w:style w:type="paragraph" w:styleId="5">
    <w:name w:val="heading 4"/>
    <w:basedOn w:val="4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134"/>
      <w:ind w:left="111"/>
    </w:pPr>
    <w:rPr>
      <w:rFonts w:ascii="方正仿宋_GBK" w:hAnsi="方正仿宋_GBK" w:eastAsia="方正仿宋_GBK"/>
      <w:sz w:val="31"/>
      <w:szCs w:val="31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2235</Words>
  <Characters>2297</Characters>
  <Lines>1</Lines>
  <Paragraphs>1</Paragraphs>
  <TotalTime>0</TotalTime>
  <ScaleCrop>false</ScaleCrop>
  <LinksUpToDate>false</LinksUpToDate>
  <CharactersWithSpaces>2308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杨茜淋</cp:lastModifiedBy>
  <cp:lastPrinted>2022-06-06T16:09:00Z</cp:lastPrinted>
  <dcterms:modified xsi:type="dcterms:W3CDTF">2025-04-15T08:26:51Z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9F34BE0BDD2143DCB4ECEF7EB04CD3E1_13</vt:lpwstr>
  </property>
  <property fmtid="{D5CDD505-2E9C-101B-9397-08002B2CF9AE}" pid="4" name="KSOTemplateDocerSaveRecord">
    <vt:lpwstr>eyJoZGlkIjoiNjFlMTczMWVjOTdhNDU1ZjZhMjA5ZjNkMTI0NDRmNmYiLCJ1c2VySWQiOiIxNjg0OTU2NjYyIn0=</vt:lpwstr>
  </property>
</Properties>
</file>