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北碚区20</w:t>
      </w:r>
      <w:r>
        <w:rPr>
          <w:rFonts w:ascii="黑体" w:hAnsi="黑体" w:eastAsia="黑体" w:cs="仿宋_GB2312"/>
          <w:b/>
          <w:sz w:val="36"/>
          <w:szCs w:val="36"/>
        </w:rPr>
        <w:t>19</w:t>
      </w:r>
      <w:r>
        <w:rPr>
          <w:rFonts w:hint="eastAsia" w:ascii="黑体" w:hAnsi="黑体" w:eastAsia="黑体" w:cs="仿宋_GB2312"/>
          <w:b/>
          <w:sz w:val="36"/>
          <w:szCs w:val="36"/>
        </w:rPr>
        <w:t>年度</w:t>
      </w:r>
      <w:r>
        <w:rPr>
          <w:rFonts w:ascii="黑体" w:hAnsi="黑体" w:eastAsia="黑体" w:cs="仿宋_GB2312"/>
          <w:b/>
          <w:sz w:val="36"/>
          <w:szCs w:val="36"/>
        </w:rPr>
        <w:t xml:space="preserve"> </w:t>
      </w:r>
    </w:p>
    <w:p>
      <w:pPr>
        <w:widowControl/>
        <w:jc w:val="center"/>
        <w:rPr>
          <w:rFonts w:ascii="黑体" w:hAnsi="黑体" w:eastAsia="黑体" w:cs="仿宋_GB2312"/>
          <w:b/>
          <w:sz w:val="36"/>
          <w:szCs w:val="36"/>
        </w:rPr>
      </w:pPr>
      <w:r>
        <w:rPr>
          <w:rFonts w:hint="eastAsia" w:ascii="黑体" w:hAnsi="黑体" w:eastAsia="黑体" w:cs="仿宋_GB2312"/>
          <w:b/>
          <w:sz w:val="36"/>
          <w:szCs w:val="36"/>
        </w:rPr>
        <w:t>发展规划业务项目绩效评价报告</w:t>
      </w:r>
    </w:p>
    <w:p>
      <w:pPr>
        <w:pStyle w:val="19"/>
        <w:snapToGrid w:val="0"/>
        <w:spacing w:line="30" w:lineRule="atLeast"/>
        <w:jc w:val="center"/>
        <w:rPr>
          <w:rFonts w:ascii="黑体" w:hAnsi="黑体" w:eastAsia="黑体" w:cs="仿宋_GB2312"/>
          <w:sz w:val="21"/>
          <w:szCs w:val="21"/>
        </w:rPr>
      </w:pPr>
      <w:r>
        <w:rPr>
          <w:rFonts w:hint="eastAsia" w:ascii="黑体" w:hAnsi="黑体" w:eastAsia="黑体" w:cs="仿宋_GB2312"/>
          <w:sz w:val="21"/>
          <w:szCs w:val="21"/>
        </w:rPr>
        <w:t>天健渝咨〔2020〕  号</w:t>
      </w:r>
    </w:p>
    <w:p>
      <w:pPr>
        <w:snapToGrid w:val="0"/>
        <w:spacing w:line="30" w:lineRule="atLeast"/>
        <w:rPr>
          <w:rFonts w:cs="仿宋_GB2312"/>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pStyle w:val="19"/>
        <w:snapToGrid w:val="0"/>
        <w:spacing w:line="360" w:lineRule="auto"/>
        <w:jc w:val="center"/>
        <w:rPr>
          <w:rFonts w:ascii="宋体" w:hAnsi="宋体" w:eastAsia="宋体" w:cs="仿宋_GB2312"/>
          <w:b/>
          <w:bCs/>
          <w:szCs w:val="24"/>
        </w:rPr>
      </w:pPr>
      <w:r>
        <w:rPr>
          <w:rFonts w:hint="eastAsia" w:ascii="宋体" w:hAnsi="宋体" w:eastAsia="宋体" w:cs="仿宋_GB2312"/>
          <w:b/>
          <w:bCs/>
          <w:szCs w:val="24"/>
        </w:rPr>
        <w:t>编制单位：天健会计师事务所（特殊普通合伙）重庆分所</w:t>
      </w:r>
    </w:p>
    <w:p>
      <w:pPr>
        <w:ind w:firstLine="2988" w:firstLineChars="1240"/>
        <w:rPr>
          <w:rFonts w:ascii="宋体" w:hAnsi="宋体" w:eastAsia="宋体" w:cs="仿宋_GB2312"/>
          <w:b/>
          <w:bCs/>
          <w:sz w:val="24"/>
        </w:rPr>
      </w:pPr>
      <w:r>
        <w:rPr>
          <w:rFonts w:hint="eastAsia" w:ascii="宋体" w:hAnsi="宋体" w:eastAsia="宋体" w:cs="仿宋_GB2312"/>
          <w:b/>
          <w:bCs/>
          <w:sz w:val="24"/>
        </w:rPr>
        <w:t>二〇二〇年七月</w:t>
      </w:r>
    </w:p>
    <w:p/>
    <w:p>
      <w:pPr>
        <w:pStyle w:val="10"/>
        <w:tabs>
          <w:tab w:val="right" w:leader="hyphen" w:pos="8306"/>
        </w:tabs>
        <w:jc w:val="center"/>
        <w:rPr>
          <w:rFonts w:cs="仿宋_GB2312"/>
          <w:b/>
          <w:sz w:val="36"/>
          <w:szCs w:val="36"/>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425" w:num="1"/>
          <w:titlePg/>
          <w:docGrid w:type="lines" w:linePitch="408" w:charSpace="0"/>
        </w:sectPr>
      </w:pPr>
    </w:p>
    <w:p>
      <w:pPr>
        <w:pStyle w:val="10"/>
        <w:tabs>
          <w:tab w:val="right" w:leader="hyphen" w:pos="8306"/>
        </w:tabs>
        <w:spacing w:line="360" w:lineRule="auto"/>
        <w:jc w:val="center"/>
        <w:rPr>
          <w:rFonts w:ascii="仿宋" w:hAnsi="仿宋" w:eastAsia="仿宋" w:cs="仿宋_GB2312"/>
          <w:bCs/>
          <w:sz w:val="28"/>
          <w:szCs w:val="28"/>
        </w:rPr>
      </w:pPr>
      <w:r>
        <w:rPr>
          <w:rFonts w:hint="eastAsia" w:ascii="仿宋" w:hAnsi="仿宋" w:eastAsia="仿宋" w:cs="仿宋_GB2312"/>
          <w:bCs/>
          <w:sz w:val="28"/>
          <w:szCs w:val="28"/>
        </w:rPr>
        <w:t>目   录</w:t>
      </w:r>
    </w:p>
    <w:p>
      <w:pPr>
        <w:pStyle w:val="10"/>
        <w:tabs>
          <w:tab w:val="right" w:leader="dot" w:pos="8296"/>
        </w:tabs>
        <w:rPr>
          <w:rFonts w:ascii="仿宋" w:hAnsi="仿宋" w:eastAsia="仿宋" w:cstheme="minorBidi"/>
          <w:sz w:val="28"/>
          <w:szCs w:val="28"/>
        </w:rPr>
      </w:pPr>
      <w:r>
        <w:rPr>
          <w:rFonts w:ascii="仿宋" w:hAnsi="仿宋" w:eastAsia="仿宋" w:cs="仿宋_GB2312"/>
          <w:bCs/>
          <w:sz w:val="28"/>
          <w:szCs w:val="28"/>
        </w:rPr>
        <w:fldChar w:fldCharType="begin"/>
      </w:r>
      <w:r>
        <w:rPr>
          <w:rFonts w:ascii="仿宋" w:hAnsi="仿宋" w:eastAsia="仿宋" w:cs="仿宋_GB2312"/>
          <w:bCs/>
          <w:sz w:val="28"/>
          <w:szCs w:val="28"/>
        </w:rPr>
        <w:instrText xml:space="preserve"> TOC \o "1-3" \u </w:instrText>
      </w:r>
      <w:r>
        <w:rPr>
          <w:rFonts w:ascii="仿宋" w:hAnsi="仿宋" w:eastAsia="仿宋" w:cs="仿宋_GB2312"/>
          <w:bCs/>
          <w:sz w:val="28"/>
          <w:szCs w:val="28"/>
        </w:rPr>
        <w:fldChar w:fldCharType="separate"/>
      </w:r>
      <w:r>
        <w:rPr>
          <w:rFonts w:hint="eastAsia" w:ascii="仿宋" w:hAnsi="仿宋" w:eastAsia="仿宋"/>
          <w:sz w:val="28"/>
          <w:szCs w:val="28"/>
        </w:rPr>
        <w:t>导语：</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_Toc46674983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p>
    <w:p>
      <w:pPr>
        <w:pStyle w:val="10"/>
        <w:tabs>
          <w:tab w:val="right" w:leader="dot" w:pos="8296"/>
        </w:tabs>
        <w:rPr>
          <w:rFonts w:ascii="仿宋" w:hAnsi="仿宋" w:eastAsia="仿宋" w:cstheme="minorBidi"/>
          <w:sz w:val="28"/>
          <w:szCs w:val="28"/>
        </w:rPr>
      </w:pPr>
      <w:r>
        <w:rPr>
          <w:rFonts w:hint="eastAsia" w:ascii="仿宋" w:hAnsi="仿宋" w:eastAsia="仿宋"/>
          <w:bCs/>
          <w:sz w:val="28"/>
          <w:szCs w:val="28"/>
        </w:rPr>
        <w:t>一、基本情况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_Toc46674984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（一）项目概况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_Toc46674985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1</w:t>
      </w:r>
      <w:r>
        <w:rPr>
          <w:rFonts w:hint="eastAsia" w:ascii="仿宋" w:hAnsi="仿宋" w:eastAsia="仿宋"/>
          <w:bCs/>
          <w:sz w:val="28"/>
          <w:szCs w:val="28"/>
        </w:rPr>
        <w:t>．项目背景</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_Toc46674986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2</w:t>
      </w:r>
      <w:r>
        <w:rPr>
          <w:rFonts w:hint="eastAsia" w:ascii="仿宋" w:hAnsi="仿宋" w:eastAsia="仿宋"/>
          <w:bCs/>
          <w:sz w:val="28"/>
          <w:szCs w:val="28"/>
        </w:rPr>
        <w:t>．项目内容</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_Toc46674987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sz w:val="28"/>
          <w:szCs w:val="28"/>
        </w:rPr>
        <w:t>3</w:t>
      </w:r>
      <w:r>
        <w:rPr>
          <w:rFonts w:hint="eastAsia" w:ascii="仿宋" w:hAnsi="仿宋" w:eastAsia="仿宋"/>
          <w:sz w:val="28"/>
          <w:szCs w:val="28"/>
        </w:rPr>
        <w:t>．项目实施情况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_Toc46674988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4</w:t>
      </w:r>
      <w:r>
        <w:rPr>
          <w:rFonts w:hint="eastAsia" w:ascii="仿宋" w:hAnsi="仿宋" w:eastAsia="仿宋"/>
          <w:bCs/>
          <w:sz w:val="28"/>
          <w:szCs w:val="28"/>
        </w:rPr>
        <w:t>．资金投入及使用情况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_Toc46674989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（二）项目绩效目标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p>
    <w:p>
      <w:pPr>
        <w:pStyle w:val="10"/>
        <w:tabs>
          <w:tab w:val="right" w:leader="dot" w:pos="8296"/>
        </w:tabs>
        <w:rPr>
          <w:rFonts w:ascii="仿宋" w:hAnsi="仿宋" w:eastAsia="仿宋" w:cstheme="minorBidi"/>
          <w:sz w:val="28"/>
          <w:szCs w:val="28"/>
        </w:rPr>
      </w:pPr>
      <w:r>
        <w:rPr>
          <w:rFonts w:hint="eastAsia" w:ascii="仿宋" w:hAnsi="仿宋" w:eastAsia="仿宋"/>
          <w:bCs/>
          <w:sz w:val="28"/>
          <w:szCs w:val="28"/>
        </w:rPr>
        <w:t>二、绩效评价工作开展情况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（一）绩效评价目的</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_Toc46674992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（二）绩效评价依据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（三）绩效评价主体</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（四）绩效评价原则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（五）评价方法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（六）评价指标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1</w:t>
      </w:r>
      <w:r>
        <w:rPr>
          <w:rFonts w:hint="eastAsia" w:ascii="仿宋" w:hAnsi="仿宋" w:eastAsia="仿宋"/>
          <w:bCs/>
          <w:sz w:val="28"/>
          <w:szCs w:val="28"/>
        </w:rPr>
        <w:t>．整体框架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_Toc46674998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2</w:t>
      </w:r>
      <w:r>
        <w:rPr>
          <w:rFonts w:hint="eastAsia" w:ascii="仿宋" w:hAnsi="仿宋" w:eastAsia="仿宋"/>
          <w:bCs/>
          <w:sz w:val="28"/>
          <w:szCs w:val="28"/>
        </w:rPr>
        <w:t>．记分原则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_Toc46674999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3</w:t>
      </w:r>
      <w:r>
        <w:rPr>
          <w:rFonts w:hint="eastAsia" w:ascii="仿宋" w:hAnsi="仿宋" w:eastAsia="仿宋"/>
          <w:bCs/>
          <w:sz w:val="28"/>
          <w:szCs w:val="28"/>
        </w:rPr>
        <w:t>．结果判定</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_Toc46675000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（七）评价过程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p>
    <w:p>
      <w:pPr>
        <w:pStyle w:val="10"/>
        <w:tabs>
          <w:tab w:val="right" w:leader="dot" w:pos="8296"/>
        </w:tabs>
        <w:rPr>
          <w:rFonts w:ascii="仿宋" w:hAnsi="仿宋" w:eastAsia="仿宋" w:cstheme="minorBidi"/>
          <w:sz w:val="28"/>
          <w:szCs w:val="28"/>
        </w:rPr>
      </w:pPr>
      <w:r>
        <w:rPr>
          <w:rFonts w:hint="eastAsia" w:ascii="仿宋" w:hAnsi="仿宋" w:eastAsia="仿宋"/>
          <w:bCs/>
          <w:sz w:val="28"/>
          <w:szCs w:val="28"/>
        </w:rPr>
        <w:t>三、综合评价情况及评价结论</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p>
    <w:p>
      <w:pPr>
        <w:pStyle w:val="10"/>
        <w:tabs>
          <w:tab w:val="right" w:leader="dot" w:pos="8296"/>
        </w:tabs>
        <w:rPr>
          <w:rFonts w:ascii="仿宋" w:hAnsi="仿宋" w:eastAsia="仿宋" w:cstheme="minorBidi"/>
          <w:sz w:val="28"/>
          <w:szCs w:val="28"/>
        </w:rPr>
      </w:pPr>
      <w:r>
        <w:rPr>
          <w:rFonts w:hint="eastAsia" w:ascii="仿宋" w:hAnsi="仿宋" w:eastAsia="仿宋"/>
          <w:bCs/>
          <w:sz w:val="28"/>
          <w:szCs w:val="28"/>
        </w:rPr>
        <w:t>四、绩效评价指标分析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（一）项目决策情况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1</w:t>
      </w:r>
      <w:r>
        <w:rPr>
          <w:rFonts w:hint="eastAsia" w:ascii="仿宋" w:hAnsi="仿宋" w:eastAsia="仿宋"/>
          <w:bCs/>
          <w:sz w:val="28"/>
          <w:szCs w:val="28"/>
        </w:rPr>
        <w:t>．项目立项</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2</w:t>
      </w:r>
      <w:r>
        <w:rPr>
          <w:rFonts w:hint="eastAsia" w:ascii="仿宋" w:hAnsi="仿宋" w:eastAsia="仿宋"/>
          <w:bCs/>
          <w:sz w:val="28"/>
          <w:szCs w:val="28"/>
        </w:rPr>
        <w:t>．绩效目标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3</w:t>
      </w:r>
      <w:r>
        <w:rPr>
          <w:rFonts w:hint="eastAsia" w:ascii="仿宋" w:hAnsi="仿宋" w:eastAsia="仿宋"/>
          <w:bCs/>
          <w:sz w:val="28"/>
          <w:szCs w:val="28"/>
        </w:rPr>
        <w:t>．资金投入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（二）项目过程情况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1</w:t>
      </w:r>
      <w:r>
        <w:rPr>
          <w:rFonts w:hint="eastAsia" w:ascii="仿宋" w:hAnsi="仿宋" w:eastAsia="仿宋"/>
          <w:bCs/>
          <w:sz w:val="28"/>
          <w:szCs w:val="28"/>
        </w:rPr>
        <w:t>．资金管理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2</w:t>
      </w:r>
      <w:r>
        <w:rPr>
          <w:rFonts w:hint="eastAsia" w:ascii="仿宋" w:hAnsi="仿宋" w:eastAsia="仿宋"/>
          <w:bCs/>
          <w:sz w:val="28"/>
          <w:szCs w:val="28"/>
        </w:rPr>
        <w:t>．组织实施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_Toc46675010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（三）项目产出情况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_Toc46675011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（四）项目效益情况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_Toc46675012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1</w:t>
      </w:r>
      <w:r>
        <w:rPr>
          <w:rFonts w:hint="eastAsia" w:ascii="仿宋" w:hAnsi="仿宋" w:eastAsia="仿宋"/>
          <w:bCs/>
          <w:sz w:val="28"/>
          <w:szCs w:val="28"/>
        </w:rPr>
        <w:t>．项目效益</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_Toc46675013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p>
    <w:p>
      <w:pPr>
        <w:pStyle w:val="5"/>
        <w:tabs>
          <w:tab w:val="right" w:leader="dot" w:pos="8296"/>
        </w:tabs>
        <w:ind w:left="1200"/>
        <w:rPr>
          <w:rFonts w:ascii="仿宋" w:hAnsi="仿宋" w:eastAsia="仿宋" w:cstheme="minorBidi"/>
          <w:sz w:val="28"/>
          <w:szCs w:val="28"/>
        </w:rPr>
      </w:pPr>
      <w:r>
        <w:rPr>
          <w:rFonts w:ascii="仿宋" w:hAnsi="仿宋" w:eastAsia="仿宋"/>
          <w:bCs/>
          <w:sz w:val="28"/>
          <w:szCs w:val="28"/>
        </w:rPr>
        <w:t>2</w:t>
      </w:r>
      <w:r>
        <w:rPr>
          <w:rFonts w:hint="eastAsia" w:ascii="仿宋" w:hAnsi="仿宋" w:eastAsia="仿宋"/>
          <w:bCs/>
          <w:sz w:val="28"/>
          <w:szCs w:val="28"/>
        </w:rPr>
        <w:t>．社会满意度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p>
    <w:p>
      <w:pPr>
        <w:pStyle w:val="10"/>
        <w:tabs>
          <w:tab w:val="right" w:leader="dot" w:pos="8296"/>
        </w:tabs>
        <w:rPr>
          <w:rFonts w:ascii="仿宋" w:hAnsi="仿宋" w:eastAsia="仿宋" w:cstheme="minorBidi"/>
          <w:sz w:val="28"/>
          <w:szCs w:val="28"/>
        </w:rPr>
      </w:pPr>
      <w:r>
        <w:rPr>
          <w:rFonts w:hint="eastAsia" w:ascii="仿宋" w:hAnsi="仿宋" w:eastAsia="仿宋"/>
          <w:bCs/>
          <w:sz w:val="28"/>
          <w:szCs w:val="28"/>
        </w:rPr>
        <w:t>五、存在的问题</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_Toc46675015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（一）未设置绩效目标，且没有制定可衡量的指标值</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（二）存在预算外支出内容</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_Toc46675017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（三）项目档案未及时归档</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p>
    <w:p>
      <w:pPr>
        <w:pStyle w:val="10"/>
        <w:tabs>
          <w:tab w:val="left" w:pos="840"/>
          <w:tab w:val="right" w:leader="dot" w:pos="8296"/>
        </w:tabs>
        <w:rPr>
          <w:rFonts w:ascii="仿宋" w:hAnsi="仿宋" w:eastAsia="仿宋" w:cstheme="minorBidi"/>
          <w:sz w:val="28"/>
          <w:szCs w:val="28"/>
        </w:rPr>
      </w:pPr>
      <w:r>
        <w:rPr>
          <w:rFonts w:hint="eastAsia" w:ascii="仿宋" w:hAnsi="仿宋" w:eastAsia="仿宋"/>
          <w:bCs/>
          <w:sz w:val="28"/>
          <w:szCs w:val="28"/>
        </w:rPr>
        <w:t>六、</w:t>
      </w:r>
      <w:r>
        <w:rPr>
          <w:rFonts w:ascii="仿宋" w:hAnsi="仿宋" w:eastAsia="仿宋" w:cstheme="minorBidi"/>
          <w:sz w:val="28"/>
          <w:szCs w:val="28"/>
        </w:rPr>
        <w:tab/>
      </w:r>
      <w:r>
        <w:rPr>
          <w:rFonts w:hint="eastAsia" w:ascii="仿宋" w:hAnsi="仿宋" w:eastAsia="仿宋"/>
          <w:bCs/>
          <w:sz w:val="28"/>
          <w:szCs w:val="28"/>
        </w:rPr>
        <w:t>相关建议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_Toc46675019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（一）加强项目申报管理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_Toc46675020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（二）加强预算执行管理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_Toc46675021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p>
    <w:p>
      <w:pPr>
        <w:pStyle w:val="11"/>
        <w:tabs>
          <w:tab w:val="right" w:leader="dot" w:pos="8296"/>
        </w:tabs>
        <w:ind w:left="600"/>
        <w:rPr>
          <w:rFonts w:ascii="仿宋" w:hAnsi="仿宋" w:eastAsia="仿宋" w:cstheme="minorBidi"/>
          <w:sz w:val="28"/>
          <w:szCs w:val="28"/>
        </w:rPr>
      </w:pPr>
      <w:r>
        <w:rPr>
          <w:rFonts w:hint="eastAsia" w:ascii="仿宋" w:hAnsi="仿宋" w:eastAsia="仿宋"/>
          <w:bCs/>
          <w:sz w:val="28"/>
          <w:szCs w:val="28"/>
        </w:rPr>
        <w:t>（三）加强档案管理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_Toc46675022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p>
    <w:p>
      <w:pPr>
        <w:pStyle w:val="10"/>
        <w:tabs>
          <w:tab w:val="left" w:pos="840"/>
          <w:tab w:val="right" w:leader="dot" w:pos="8296"/>
        </w:tabs>
        <w:rPr>
          <w:rFonts w:ascii="仿宋" w:hAnsi="仿宋" w:eastAsia="仿宋" w:cstheme="minorBidi"/>
          <w:sz w:val="28"/>
          <w:szCs w:val="28"/>
        </w:rPr>
      </w:pPr>
      <w:r>
        <w:rPr>
          <w:rFonts w:hint="eastAsia" w:ascii="仿宋" w:hAnsi="仿宋" w:eastAsia="仿宋"/>
          <w:bCs/>
          <w:sz w:val="28"/>
          <w:szCs w:val="28"/>
        </w:rPr>
        <w:t>七、</w:t>
      </w:r>
      <w:r>
        <w:rPr>
          <w:rFonts w:ascii="仿宋" w:hAnsi="仿宋" w:eastAsia="仿宋" w:cstheme="minorBidi"/>
          <w:sz w:val="28"/>
          <w:szCs w:val="28"/>
        </w:rPr>
        <w:tab/>
      </w:r>
      <w:r>
        <w:rPr>
          <w:rFonts w:hint="eastAsia" w:ascii="仿宋" w:hAnsi="仿宋" w:eastAsia="仿宋"/>
          <w:bCs/>
          <w:sz w:val="28"/>
          <w:szCs w:val="28"/>
        </w:rPr>
        <w:t>其他说明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_Toc46675023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p>
    <w:p>
      <w:pPr>
        <w:pStyle w:val="10"/>
        <w:tabs>
          <w:tab w:val="right" w:leader="dot" w:pos="8296"/>
        </w:tabs>
        <w:rPr>
          <w:rFonts w:asciiTheme="minorHAnsi" w:hAnsiTheme="minorHAnsi" w:eastAsiaTheme="minorEastAsia" w:cstheme="minorBidi"/>
          <w:sz w:val="21"/>
          <w:szCs w:val="22"/>
        </w:rPr>
      </w:pPr>
      <w:r>
        <w:rPr>
          <w:rFonts w:hint="eastAsia" w:ascii="仿宋" w:hAnsi="仿宋" w:eastAsia="仿宋"/>
          <w:sz w:val="28"/>
          <w:szCs w:val="28"/>
        </w:rPr>
        <w:t>附件：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_Toc46675024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p>
    <w:p>
      <w:pPr>
        <w:pStyle w:val="19"/>
        <w:snapToGrid w:val="0"/>
        <w:spacing w:before="156" w:beforeLines="50" w:line="360" w:lineRule="auto"/>
        <w:jc w:val="center"/>
        <w:rPr>
          <w:rFonts w:cs="仿宋_GB2312"/>
          <w:b/>
          <w:sz w:val="32"/>
          <w:szCs w:val="32"/>
        </w:rPr>
      </w:pPr>
      <w:r>
        <w:rPr>
          <w:rFonts w:ascii="仿宋" w:hAnsi="仿宋" w:eastAsia="仿宋" w:cs="仿宋_GB2312"/>
          <w:bCs/>
          <w:kern w:val="2"/>
          <w:sz w:val="28"/>
          <w:szCs w:val="28"/>
        </w:rPr>
        <w:fldChar w:fldCharType="end"/>
      </w:r>
    </w:p>
    <w:p>
      <w:pPr>
        <w:pStyle w:val="19"/>
        <w:pageBreakBefore/>
        <w:snapToGrid w:val="0"/>
        <w:spacing w:before="156" w:beforeLines="50" w:line="360" w:lineRule="auto"/>
        <w:jc w:val="center"/>
        <w:rPr>
          <w:rFonts w:cs="仿宋_GB2312"/>
          <w:b/>
          <w:sz w:val="32"/>
          <w:szCs w:val="32"/>
        </w:rPr>
        <w:sectPr>
          <w:pgSz w:w="11906" w:h="16838"/>
          <w:pgMar w:top="1440" w:right="1800" w:bottom="1440" w:left="1800" w:header="851" w:footer="992" w:gutter="0"/>
          <w:pgNumType w:start="1"/>
          <w:cols w:space="425" w:num="1"/>
          <w:docGrid w:type="lines" w:linePitch="312" w:charSpace="0"/>
        </w:sectPr>
      </w:pPr>
    </w:p>
    <w:p>
      <w:pPr>
        <w:widowControl/>
        <w:jc w:val="left"/>
        <w:rPr>
          <w:rFonts w:ascii="黑体" w:hAnsi="黑体" w:eastAsia="黑体" w:cs="宋体"/>
          <w:b/>
          <w:sz w:val="36"/>
          <w:szCs w:val="36"/>
        </w:rPr>
      </w:pPr>
      <w:r>
        <mc:AlternateContent>
          <mc:Choice Requires="wps">
            <w:drawing>
              <wp:anchor distT="0" distB="0" distL="114300" distR="114300" simplePos="0" relativeHeight="251659264" behindDoc="0" locked="0" layoutInCell="1" allowOverlap="1">
                <wp:simplePos x="0" y="0"/>
                <wp:positionH relativeFrom="column">
                  <wp:posOffset>4476750</wp:posOffset>
                </wp:positionH>
                <wp:positionV relativeFrom="paragraph">
                  <wp:posOffset>-297180</wp:posOffset>
                </wp:positionV>
                <wp:extent cx="963930" cy="678180"/>
                <wp:effectExtent l="0" t="0" r="26670" b="2667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963930" cy="678180"/>
                        </a:xfrm>
                        <a:prstGeom prst="rect">
                          <a:avLst/>
                        </a:prstGeom>
                        <a:noFill/>
                        <a:ln w="9525">
                          <a:solidFill>
                            <a:srgbClr val="000000"/>
                          </a:solidFill>
                          <a:miter lim="800000"/>
                        </a:ln>
                      </wps:spPr>
                      <wps:txbx>
                        <w:txbxContent>
                          <w:p>
                            <w:pPr>
                              <w:jc w:val="distribute"/>
                              <w:rPr>
                                <w:rFonts w:ascii="Calibri"/>
                                <w:sz w:val="11"/>
                                <w:szCs w:val="11"/>
                              </w:rPr>
                            </w:pPr>
                            <w:r>
                              <w:rPr>
                                <w:rFonts w:hint="eastAsia" w:ascii="Calibri"/>
                                <w:sz w:val="11"/>
                                <w:szCs w:val="11"/>
                              </w:rPr>
                              <w:t>本报告防伪编码</w:t>
                            </w:r>
                            <w:r>
                              <w:rPr>
                                <w:rFonts w:hint="eastAsia" w:ascii="Calibri"/>
                                <w:sz w:val="11"/>
                                <w:szCs w:val="11"/>
                                <w:highlight w:val="red"/>
                              </w:rPr>
                              <w:t>742754498746</w:t>
                            </w:r>
                            <w:r>
                              <w:rPr>
                                <w:rFonts w:hint="eastAsia" w:ascii="Calibri"/>
                                <w:sz w:val="11"/>
                                <w:szCs w:val="11"/>
                              </w:rPr>
                              <w:t>号，请登陆www.cqicpa.org.cn查询</w:t>
                            </w:r>
                          </w:p>
                        </w:txbxContent>
                      </wps:txbx>
                      <wps:bodyPr rot="0" vert="horz" wrap="square" lIns="54042" tIns="45720" rIns="54042" bIns="45720" anchor="t" anchorCtr="0" upright="1">
                        <a:noAutofit/>
                      </wps:bodyPr>
                    </wps:wsp>
                  </a:graphicData>
                </a:graphic>
              </wp:anchor>
            </w:drawing>
          </mc:Choice>
          <mc:Fallback>
            <w:pict>
              <v:shape id="_x0000_s1026" o:spid="_x0000_s1026" o:spt="202" type="#_x0000_t202" style="position:absolute;left:0pt;margin-left:352.5pt;margin-top:-23.4pt;height:53.4pt;width:75.9pt;z-index:251659264;mso-width-relative:page;mso-height-relative:page;" filled="f" stroked="t" coordsize="21600,21600" o:gfxdata="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U3HC7aAAAACgEAAA8AAAAAAAAAAQAgAAAAIgAA&#10;AGRycy9kb3ducmV2LnhtbFBLAQIUABQAAAAIAIdO4kCh8Pq4PwIAAF8EAAAOAAAAAAAAAAEAIAAA&#10;ACkBAABkcnMvZTJvRG9jLnhtbFBLBQYAAAAABgAGAFkBAADaBQAAAAA=&#10;">
                <v:fill on="f" focussize="0,0"/>
                <v:stroke color="#000000" miterlimit="8" joinstyle="miter"/>
                <v:imagedata o:title=""/>
                <o:lock v:ext="edit" aspectratio="f"/>
                <v:textbox inset="0.0591010498687664in,1.27mm,0.0591010498687664in,1.27mm">
                  <w:txbxContent>
                    <w:p>
                      <w:pPr>
                        <w:jc w:val="distribute"/>
                        <w:rPr>
                          <w:rFonts w:ascii="Calibri"/>
                          <w:sz w:val="11"/>
                          <w:szCs w:val="11"/>
                        </w:rPr>
                      </w:pPr>
                      <w:r>
                        <w:rPr>
                          <w:rFonts w:hint="eastAsia" w:ascii="Calibri"/>
                          <w:sz w:val="11"/>
                          <w:szCs w:val="11"/>
                        </w:rPr>
                        <w:t>本报告防伪编码</w:t>
                      </w:r>
                      <w:r>
                        <w:rPr>
                          <w:rFonts w:hint="eastAsia" w:ascii="Calibri"/>
                          <w:sz w:val="11"/>
                          <w:szCs w:val="11"/>
                          <w:highlight w:val="red"/>
                        </w:rPr>
                        <w:t>742754498746</w:t>
                      </w:r>
                      <w:r>
                        <w:rPr>
                          <w:rFonts w:hint="eastAsia" w:ascii="Calibri"/>
                          <w:sz w:val="11"/>
                          <w:szCs w:val="11"/>
                        </w:rPr>
                        <w:t>号，请登陆www.cqicpa.org.cn查询</w:t>
                      </w:r>
                    </w:p>
                  </w:txbxContent>
                </v:textbox>
              </v:shape>
            </w:pict>
          </mc:Fallback>
        </mc:AlternateContent>
      </w:r>
    </w:p>
    <w:p>
      <w:pPr>
        <w:snapToGrid w:val="0"/>
        <w:spacing w:line="360" w:lineRule="auto"/>
        <w:ind w:firstLine="723"/>
        <w:jc w:val="center"/>
        <w:rPr>
          <w:rFonts w:ascii="黑体" w:hAnsi="黑体" w:eastAsia="黑体" w:cs="宋体"/>
          <w:b/>
          <w:sz w:val="36"/>
          <w:szCs w:val="36"/>
        </w:rPr>
      </w:pPr>
    </w:p>
    <w:p>
      <w:pPr>
        <w:snapToGrid w:val="0"/>
        <w:spacing w:line="360" w:lineRule="auto"/>
        <w:ind w:firstLine="723"/>
        <w:jc w:val="center"/>
        <w:rPr>
          <w:rFonts w:ascii="黑体" w:hAnsi="黑体" w:eastAsia="黑体" w:cs="宋体"/>
          <w:b/>
          <w:sz w:val="36"/>
          <w:szCs w:val="36"/>
        </w:rPr>
      </w:pP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北碚区20</w:t>
      </w:r>
      <w:r>
        <w:rPr>
          <w:rFonts w:ascii="黑体" w:hAnsi="黑体" w:eastAsia="黑体" w:cs="仿宋_GB2312"/>
          <w:b/>
          <w:sz w:val="36"/>
          <w:szCs w:val="36"/>
        </w:rPr>
        <w:t>19</w:t>
      </w:r>
      <w:r>
        <w:rPr>
          <w:rFonts w:hint="eastAsia" w:ascii="黑体" w:hAnsi="黑体" w:eastAsia="黑体" w:cs="仿宋_GB2312"/>
          <w:b/>
          <w:sz w:val="36"/>
          <w:szCs w:val="36"/>
        </w:rPr>
        <w:t>年度</w:t>
      </w:r>
      <w:r>
        <w:rPr>
          <w:rFonts w:ascii="黑体" w:hAnsi="黑体" w:eastAsia="黑体" w:cs="仿宋_GB2312"/>
          <w:b/>
          <w:sz w:val="36"/>
          <w:szCs w:val="36"/>
        </w:rPr>
        <w:t xml:space="preserve"> </w:t>
      </w:r>
    </w:p>
    <w:p>
      <w:pPr>
        <w:widowControl/>
        <w:adjustRightInd w:val="0"/>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发展规划业务项目绩效评价报告</w:t>
      </w:r>
    </w:p>
    <w:p>
      <w:pPr>
        <w:pStyle w:val="19"/>
        <w:widowControl w:val="0"/>
        <w:snapToGrid w:val="0"/>
        <w:spacing w:line="360" w:lineRule="auto"/>
        <w:jc w:val="center"/>
        <w:rPr>
          <w:rFonts w:ascii="楷体" w:hAnsi="楷体" w:eastAsia="楷体" w:cs="楷体"/>
          <w:b/>
          <w:sz w:val="28"/>
          <w:szCs w:val="28"/>
          <w:lang w:val="zh-CN"/>
        </w:rPr>
      </w:pPr>
      <w:r>
        <w:rPr>
          <w:rFonts w:hint="eastAsia" w:ascii="黑体" w:hAnsi="黑体" w:eastAsia="黑体" w:cs="楷体"/>
          <w:sz w:val="20"/>
          <w:szCs w:val="18"/>
        </w:rPr>
        <w:t>天健渝咨〔2020〕 号</w:t>
      </w:r>
    </w:p>
    <w:p>
      <w:pPr>
        <w:adjustRightInd w:val="0"/>
        <w:snapToGrid w:val="0"/>
        <w:spacing w:line="360" w:lineRule="auto"/>
      </w:pPr>
    </w:p>
    <w:p>
      <w:pPr>
        <w:adjustRightInd w:val="0"/>
        <w:snapToGrid w:val="0"/>
        <w:spacing w:line="360" w:lineRule="auto"/>
        <w:jc w:val="left"/>
        <w:outlineLvl w:val="0"/>
        <w:rPr>
          <w:sz w:val="28"/>
          <w:szCs w:val="28"/>
        </w:rPr>
      </w:pPr>
      <w:bookmarkStart w:id="0" w:name="_Toc20079"/>
      <w:bookmarkStart w:id="1" w:name="_Toc494403805"/>
      <w:bookmarkStart w:id="2" w:name="_Toc494356991"/>
      <w:bookmarkStart w:id="3" w:name="_Toc752"/>
      <w:bookmarkStart w:id="4" w:name="_Toc46674983"/>
      <w:r>
        <w:rPr>
          <w:rFonts w:hint="eastAsia"/>
          <w:b/>
          <w:sz w:val="28"/>
          <w:szCs w:val="28"/>
        </w:rPr>
        <w:t>导语</w:t>
      </w:r>
      <w:r>
        <w:rPr>
          <w:rFonts w:hint="eastAsia"/>
          <w:sz w:val="28"/>
          <w:szCs w:val="28"/>
        </w:rPr>
        <w:t>：</w:t>
      </w:r>
      <w:bookmarkEnd w:id="0"/>
      <w:bookmarkEnd w:id="1"/>
      <w:bookmarkEnd w:id="2"/>
      <w:bookmarkEnd w:id="3"/>
      <w:bookmarkEnd w:id="4"/>
    </w:p>
    <w:p>
      <w:pPr>
        <w:adjustRightInd w:val="0"/>
        <w:snapToGrid w:val="0"/>
        <w:spacing w:line="360" w:lineRule="auto"/>
        <w:ind w:firstLine="560" w:firstLineChars="200"/>
        <w:rPr>
          <w:sz w:val="28"/>
          <w:szCs w:val="28"/>
        </w:rPr>
      </w:pPr>
      <w:r>
        <w:rPr>
          <w:rFonts w:hint="eastAsia"/>
          <w:sz w:val="28"/>
          <w:szCs w:val="28"/>
        </w:rPr>
        <w:t>为加强重庆市区发改委发展规划业务专项资金管理，提高资金使用效益。根据《关于印发&lt;项目支出绩效评价管理办法&gt;的通知》（财预〔2020〕10 号）、</w:t>
      </w:r>
      <w:bookmarkStart w:id="5" w:name="_Hlk46242646"/>
      <w:r>
        <w:rPr>
          <w:rFonts w:hint="eastAsia"/>
          <w:sz w:val="28"/>
          <w:szCs w:val="28"/>
        </w:rPr>
        <w:t>《关于全面实施预算绩效管理的实施意见》（渝委发〔2019〕12号）</w:t>
      </w:r>
      <w:bookmarkEnd w:id="5"/>
      <w:r>
        <w:rPr>
          <w:rFonts w:hint="eastAsia"/>
          <w:sz w:val="28"/>
          <w:szCs w:val="28"/>
        </w:rPr>
        <w:t>和《重庆市北碚区财政局关于开展2019年度政策和项目资金绩效评价（财政重点评价）工作的通知》（北碚财〔2020〕232号）等相关要求，由重庆市北碚区财政局（以下简称“区财政局”），重庆市北碚区发展和改革委员会（以下简称“区发改委”）、天健会计师事务所（特殊普通合伙）重庆分所组织成立了绩效评价工作组（以下简称“工作组”），于2020年6月6日至2020年7月24日，对北碚区20</w:t>
      </w:r>
      <w:r>
        <w:rPr>
          <w:sz w:val="28"/>
          <w:szCs w:val="28"/>
        </w:rPr>
        <w:t>19</w:t>
      </w:r>
      <w:r>
        <w:rPr>
          <w:rFonts w:hint="eastAsia"/>
          <w:sz w:val="28"/>
          <w:szCs w:val="28"/>
        </w:rPr>
        <w:t>年度发展规划业务项目开展了绩效评价，现将评价情况报告如下：</w:t>
      </w:r>
      <w:r>
        <w:rPr>
          <w:sz w:val="28"/>
          <w:szCs w:val="28"/>
        </w:rPr>
        <w:t xml:space="preserve"> </w:t>
      </w:r>
    </w:p>
    <w:p>
      <w:pPr>
        <w:adjustRightInd w:val="0"/>
        <w:snapToGrid w:val="0"/>
        <w:spacing w:line="360" w:lineRule="auto"/>
        <w:ind w:firstLine="560" w:firstLineChars="200"/>
        <w:rPr>
          <w:sz w:val="28"/>
          <w:szCs w:val="28"/>
        </w:rPr>
      </w:pPr>
    </w:p>
    <w:p>
      <w:pPr>
        <w:adjustRightInd w:val="0"/>
        <w:snapToGrid w:val="0"/>
        <w:spacing w:line="360" w:lineRule="auto"/>
        <w:ind w:firstLine="562" w:firstLineChars="200"/>
        <w:outlineLvl w:val="0"/>
        <w:rPr>
          <w:rFonts w:ascii="黑体" w:hAnsi="黑体" w:eastAsia="黑体"/>
          <w:b/>
          <w:bCs/>
          <w:sz w:val="28"/>
          <w:szCs w:val="28"/>
        </w:rPr>
      </w:pPr>
      <w:bookmarkStart w:id="6" w:name="_Toc25357"/>
      <w:bookmarkStart w:id="7" w:name="_Toc46674984"/>
      <w:r>
        <w:rPr>
          <w:rFonts w:hint="eastAsia" w:ascii="黑体" w:hAnsi="黑体" w:eastAsia="黑体"/>
          <w:b/>
          <w:bCs/>
          <w:sz w:val="28"/>
          <w:szCs w:val="28"/>
        </w:rPr>
        <w:t>一、基本情况</w:t>
      </w:r>
      <w:bookmarkEnd w:id="6"/>
      <w:bookmarkEnd w:id="7"/>
    </w:p>
    <w:p>
      <w:pPr>
        <w:adjustRightInd w:val="0"/>
        <w:snapToGrid w:val="0"/>
        <w:spacing w:line="360" w:lineRule="auto"/>
        <w:ind w:firstLine="562" w:firstLineChars="200"/>
        <w:outlineLvl w:val="1"/>
        <w:rPr>
          <w:b/>
          <w:bCs/>
          <w:sz w:val="28"/>
          <w:szCs w:val="28"/>
        </w:rPr>
      </w:pPr>
      <w:bookmarkStart w:id="8" w:name="_Toc26089"/>
      <w:bookmarkStart w:id="9" w:name="_Toc46674985"/>
      <w:r>
        <w:rPr>
          <w:rFonts w:hint="eastAsia"/>
          <w:b/>
          <w:bCs/>
          <w:sz w:val="28"/>
          <w:szCs w:val="28"/>
        </w:rPr>
        <w:t>（一）项目</w:t>
      </w:r>
      <w:bookmarkEnd w:id="8"/>
      <w:r>
        <w:rPr>
          <w:rFonts w:hint="eastAsia"/>
          <w:b/>
          <w:bCs/>
          <w:sz w:val="28"/>
          <w:szCs w:val="28"/>
        </w:rPr>
        <w:t>概况</w:t>
      </w:r>
      <w:bookmarkEnd w:id="9"/>
    </w:p>
    <w:p>
      <w:pPr>
        <w:adjustRightInd w:val="0"/>
        <w:snapToGrid w:val="0"/>
        <w:spacing w:line="360" w:lineRule="auto"/>
        <w:ind w:firstLine="560" w:firstLineChars="200"/>
        <w:outlineLvl w:val="2"/>
        <w:rPr>
          <w:sz w:val="28"/>
          <w:szCs w:val="28"/>
        </w:rPr>
      </w:pPr>
      <w:bookmarkStart w:id="10" w:name="_Toc46674986"/>
      <w:r>
        <w:rPr>
          <w:rFonts w:hint="eastAsia"/>
          <w:bCs/>
          <w:sz w:val="28"/>
          <w:szCs w:val="28"/>
        </w:rPr>
        <w:t>1．项目背景</w:t>
      </w:r>
      <w:bookmarkEnd w:id="10"/>
      <w:r>
        <w:rPr>
          <w:rFonts w:hint="eastAsia"/>
          <w:sz w:val="28"/>
          <w:szCs w:val="28"/>
        </w:rPr>
        <w:t xml:space="preserve">   </w:t>
      </w:r>
    </w:p>
    <w:p>
      <w:pPr>
        <w:adjustRightInd w:val="0"/>
        <w:snapToGrid w:val="0"/>
        <w:spacing w:line="360" w:lineRule="auto"/>
        <w:ind w:firstLine="560" w:firstLineChars="200"/>
        <w:rPr>
          <w:sz w:val="28"/>
          <w:szCs w:val="28"/>
        </w:rPr>
      </w:pPr>
      <w:r>
        <w:rPr>
          <w:rFonts w:hint="eastAsia"/>
          <w:sz w:val="28"/>
          <w:szCs w:val="28"/>
        </w:rPr>
        <w:t>区发改委编制的规划是区政府对一定范围的经济、社会、公共服务等各个领域时空上的设想、谋划、部署或具体安排。为落实好2019年北碚区相关规划工作，</w:t>
      </w:r>
      <w:bookmarkStart w:id="11" w:name="_Toc3947"/>
      <w:r>
        <w:rPr>
          <w:rFonts w:hint="eastAsia"/>
          <w:sz w:val="28"/>
          <w:szCs w:val="28"/>
        </w:rPr>
        <w:t>区财政局通过《关于2019年区级部门预算的批复》（北碚财预</w:t>
      </w:r>
      <w:r>
        <w:rPr>
          <w:rFonts w:hint="eastAsia" w:ascii="仿宋" w:hAnsi="仿宋" w:eastAsia="仿宋"/>
          <w:sz w:val="28"/>
          <w:szCs w:val="28"/>
        </w:rPr>
        <w:t>〔</w:t>
      </w:r>
      <w:r>
        <w:rPr>
          <w:rFonts w:hint="eastAsia"/>
          <w:sz w:val="28"/>
          <w:szCs w:val="28"/>
        </w:rPr>
        <w:t>2019</w:t>
      </w:r>
      <w:r>
        <w:rPr>
          <w:rFonts w:hint="eastAsia" w:ascii="仿宋" w:hAnsi="仿宋" w:eastAsia="仿宋"/>
          <w:sz w:val="28"/>
          <w:szCs w:val="28"/>
        </w:rPr>
        <w:t>〕</w:t>
      </w:r>
      <w:r>
        <w:rPr>
          <w:rFonts w:hint="eastAsia"/>
          <w:sz w:val="28"/>
          <w:szCs w:val="28"/>
        </w:rPr>
        <w:t>2号），批复87.40万元用于2019年发展规划业务。</w:t>
      </w:r>
    </w:p>
    <w:p>
      <w:pPr>
        <w:adjustRightInd w:val="0"/>
        <w:snapToGrid w:val="0"/>
        <w:spacing w:line="360" w:lineRule="auto"/>
        <w:ind w:firstLine="560" w:firstLineChars="200"/>
        <w:jc w:val="left"/>
        <w:outlineLvl w:val="2"/>
        <w:rPr>
          <w:bCs/>
          <w:sz w:val="28"/>
          <w:szCs w:val="28"/>
        </w:rPr>
      </w:pPr>
      <w:bookmarkStart w:id="12" w:name="_Toc46674987"/>
      <w:r>
        <w:rPr>
          <w:rFonts w:hint="eastAsia"/>
          <w:bCs/>
          <w:sz w:val="28"/>
          <w:szCs w:val="28"/>
        </w:rPr>
        <w:t>2</w:t>
      </w:r>
      <w:bookmarkEnd w:id="11"/>
      <w:r>
        <w:rPr>
          <w:rFonts w:hint="eastAsia"/>
          <w:bCs/>
          <w:sz w:val="28"/>
          <w:szCs w:val="28"/>
        </w:rPr>
        <w:t>．项目内容</w:t>
      </w:r>
      <w:bookmarkEnd w:id="12"/>
      <w:r>
        <w:rPr>
          <w:rFonts w:hint="eastAsia"/>
          <w:bCs/>
          <w:sz w:val="28"/>
          <w:szCs w:val="28"/>
        </w:rPr>
        <w:t xml:space="preserve"> </w:t>
      </w:r>
    </w:p>
    <w:p>
      <w:pPr>
        <w:adjustRightInd w:val="0"/>
        <w:snapToGrid w:val="0"/>
        <w:spacing w:line="360" w:lineRule="auto"/>
        <w:ind w:firstLine="560" w:firstLineChars="200"/>
        <w:rPr>
          <w:sz w:val="28"/>
          <w:szCs w:val="28"/>
        </w:rPr>
      </w:pPr>
      <w:r>
        <w:rPr>
          <w:rFonts w:hint="eastAsia"/>
          <w:sz w:val="28"/>
          <w:szCs w:val="28"/>
        </w:rPr>
        <w:t>该项目批复的预算87.40万元主要计划用于编制发展规划业务报告及其他相关业务工作。</w:t>
      </w:r>
    </w:p>
    <w:p>
      <w:pPr>
        <w:adjustRightInd w:val="0"/>
        <w:snapToGrid w:val="0"/>
        <w:spacing w:line="360" w:lineRule="auto"/>
        <w:ind w:firstLine="560" w:firstLineChars="200"/>
        <w:outlineLvl w:val="2"/>
        <w:rPr>
          <w:sz w:val="28"/>
          <w:szCs w:val="28"/>
        </w:rPr>
      </w:pPr>
      <w:bookmarkStart w:id="13" w:name="_Toc46674988"/>
      <w:r>
        <w:rPr>
          <w:rFonts w:hint="eastAsia"/>
          <w:sz w:val="28"/>
          <w:szCs w:val="28"/>
        </w:rPr>
        <w:t>3．项目实施情况</w:t>
      </w:r>
      <w:bookmarkEnd w:id="13"/>
    </w:p>
    <w:p>
      <w:pPr>
        <w:adjustRightInd w:val="0"/>
        <w:snapToGrid w:val="0"/>
        <w:spacing w:line="360" w:lineRule="auto"/>
        <w:ind w:firstLine="280" w:firstLineChars="100"/>
        <w:rPr>
          <w:sz w:val="28"/>
          <w:szCs w:val="28"/>
        </w:rPr>
      </w:pPr>
      <w:r>
        <w:rPr>
          <w:rFonts w:hint="eastAsia"/>
          <w:sz w:val="28"/>
          <w:szCs w:val="28"/>
        </w:rPr>
        <w:t xml:space="preserve"> 2019年，区发改委紧扣社会主要矛盾变化,按照高质量发展要求,围绕全区经济社会发展的重点、难点和热点问题,深入调查调研,形成研究报告。截至2019年12月底，区发改委委托第三方机构编制了9个规划调查报告，分别是《信用信息市场的应用报告》、《北碚区发展</w:t>
      </w:r>
      <w:r>
        <w:rPr>
          <w:rFonts w:hint="eastAsia"/>
          <w:sz w:val="28"/>
          <w:szCs w:val="28"/>
          <w:lang w:eastAsia="zh-CN"/>
        </w:rPr>
        <w:t>和</w:t>
      </w:r>
      <w:r>
        <w:rPr>
          <w:rFonts w:hint="eastAsia"/>
          <w:sz w:val="28"/>
          <w:szCs w:val="28"/>
        </w:rPr>
        <w:t>改革委员会管辖范围内的石油天然气长输管道企业和电动汽车充电基础设施进行安全检查和隐患排查的技术报告》、《重庆市北碚区高标准农田建设规划实施方案》、《北碚区十三五后期发展思路研究》、《重庆市人民政府关于推进北碚区民营经济综合改革示范区试点的若干意见》、《北碚区静观镇产业发展策划、规划、行动实施方案》、《重庆市北碚区乡村振兴战略规划(2018-2022年) 》、《关于北碚区经济社会发展的初步思考——与七个先进区的比较分析》、《矿山地质环境调查报告》。</w:t>
      </w:r>
    </w:p>
    <w:p>
      <w:pPr>
        <w:adjustRightInd w:val="0"/>
        <w:snapToGrid w:val="0"/>
        <w:spacing w:line="360" w:lineRule="auto"/>
        <w:ind w:firstLine="560" w:firstLineChars="200"/>
        <w:outlineLvl w:val="2"/>
        <w:rPr>
          <w:bCs/>
          <w:sz w:val="28"/>
          <w:szCs w:val="28"/>
        </w:rPr>
      </w:pPr>
      <w:bookmarkStart w:id="14" w:name="_Toc46674989"/>
      <w:r>
        <w:rPr>
          <w:rFonts w:hint="eastAsia"/>
          <w:bCs/>
          <w:sz w:val="28"/>
          <w:szCs w:val="28"/>
        </w:rPr>
        <w:t>4．资金投入及使用情况</w:t>
      </w:r>
      <w:bookmarkEnd w:id="14"/>
    </w:p>
    <w:p>
      <w:pPr>
        <w:adjustRightInd w:val="0"/>
        <w:snapToGrid w:val="0"/>
        <w:spacing w:line="360" w:lineRule="auto"/>
        <w:ind w:firstLine="560" w:firstLineChars="200"/>
        <w:rPr>
          <w:sz w:val="28"/>
          <w:szCs w:val="28"/>
        </w:rPr>
      </w:pPr>
      <w:r>
        <w:rPr>
          <w:rFonts w:hint="eastAsia"/>
          <w:sz w:val="28"/>
          <w:szCs w:val="28"/>
        </w:rPr>
        <w:t>该项目预算批复为87.40万元，2019年用于咨询服务费</w:t>
      </w:r>
      <w:r>
        <w:rPr>
          <w:sz w:val="28"/>
          <w:szCs w:val="28"/>
        </w:rPr>
        <w:t>78</w:t>
      </w:r>
      <w:r>
        <w:rPr>
          <w:rFonts w:hint="eastAsia"/>
          <w:sz w:val="28"/>
          <w:szCs w:val="28"/>
        </w:rPr>
        <w:t>.</w:t>
      </w:r>
      <w:r>
        <w:rPr>
          <w:sz w:val="28"/>
          <w:szCs w:val="28"/>
        </w:rPr>
        <w:t>85</w:t>
      </w:r>
      <w:r>
        <w:rPr>
          <w:rFonts w:hint="eastAsia"/>
          <w:sz w:val="28"/>
          <w:szCs w:val="28"/>
        </w:rPr>
        <w:t>万元、打印、差旅等相关业务7.63</w:t>
      </w:r>
      <w:r>
        <w:rPr>
          <w:sz w:val="28"/>
          <w:szCs w:val="28"/>
        </w:rPr>
        <w:t>万元</w:t>
      </w:r>
      <w:r>
        <w:rPr>
          <w:rFonts w:hint="eastAsia"/>
          <w:sz w:val="28"/>
          <w:szCs w:val="28"/>
        </w:rPr>
        <w:t>，办公家具、用品等其他预算外支出1.56万元，支出合计88.04万元。资金缺口来源于上一年度结转资金。</w:t>
      </w:r>
    </w:p>
    <w:p>
      <w:pPr>
        <w:adjustRightInd w:val="0"/>
        <w:snapToGrid w:val="0"/>
        <w:spacing w:line="360" w:lineRule="auto"/>
        <w:ind w:firstLine="562" w:firstLineChars="200"/>
        <w:outlineLvl w:val="1"/>
        <w:rPr>
          <w:b/>
          <w:bCs/>
          <w:sz w:val="28"/>
          <w:szCs w:val="28"/>
        </w:rPr>
      </w:pPr>
      <w:bookmarkStart w:id="15" w:name="_Toc46674990"/>
      <w:r>
        <w:rPr>
          <w:rFonts w:hint="eastAsia"/>
          <w:b/>
          <w:bCs/>
          <w:sz w:val="28"/>
          <w:szCs w:val="28"/>
        </w:rPr>
        <w:t>（二）项目绩效目标</w:t>
      </w:r>
      <w:bookmarkEnd w:id="15"/>
    </w:p>
    <w:p>
      <w:pPr>
        <w:adjustRightInd w:val="0"/>
        <w:snapToGrid w:val="0"/>
        <w:spacing w:line="360" w:lineRule="auto"/>
        <w:ind w:firstLine="560" w:firstLineChars="200"/>
        <w:rPr>
          <w:bCs/>
          <w:sz w:val="28"/>
          <w:szCs w:val="28"/>
        </w:rPr>
      </w:pPr>
      <w:r>
        <w:rPr>
          <w:rFonts w:hint="eastAsia"/>
          <w:bCs/>
          <w:sz w:val="28"/>
          <w:szCs w:val="28"/>
        </w:rPr>
        <w:t>2019年以完善城市综合功能为抓手，发挥区发改委的调控引领作用。通过完成多方面规划编制项目，为全区的城市建设及经济社会发展提供有力的规划支撑及服务保障。</w:t>
      </w:r>
      <w:r>
        <w:rPr>
          <w:rFonts w:hint="eastAsia"/>
          <w:sz w:val="28"/>
          <w:szCs w:val="28"/>
        </w:rPr>
        <w:t>2019年度计划编制发展规划业务报告共计9个。</w:t>
      </w:r>
    </w:p>
    <w:p>
      <w:pPr>
        <w:adjustRightInd w:val="0"/>
        <w:snapToGrid w:val="0"/>
        <w:spacing w:line="360" w:lineRule="auto"/>
        <w:ind w:firstLine="562" w:firstLineChars="200"/>
        <w:rPr>
          <w:rFonts w:ascii="黑体" w:hAnsi="黑体" w:eastAsia="黑体"/>
          <w:b/>
          <w:bCs/>
          <w:sz w:val="28"/>
          <w:szCs w:val="28"/>
        </w:rPr>
      </w:pPr>
      <w:bookmarkStart w:id="16" w:name="_Toc2761"/>
    </w:p>
    <w:p>
      <w:pPr>
        <w:adjustRightInd w:val="0"/>
        <w:snapToGrid w:val="0"/>
        <w:spacing w:line="360" w:lineRule="auto"/>
        <w:ind w:firstLine="562" w:firstLineChars="200"/>
        <w:outlineLvl w:val="0"/>
        <w:rPr>
          <w:rFonts w:ascii="黑体" w:hAnsi="黑体" w:eastAsia="黑体"/>
          <w:b/>
          <w:bCs/>
          <w:sz w:val="28"/>
          <w:szCs w:val="28"/>
        </w:rPr>
      </w:pPr>
      <w:bookmarkStart w:id="17" w:name="_Toc46674991"/>
      <w:r>
        <w:rPr>
          <w:rFonts w:hint="eastAsia" w:ascii="黑体" w:hAnsi="黑体" w:eastAsia="黑体"/>
          <w:b/>
          <w:bCs/>
          <w:sz w:val="28"/>
          <w:szCs w:val="28"/>
        </w:rPr>
        <w:t>二、绩效评价工作开展情况</w:t>
      </w:r>
      <w:bookmarkEnd w:id="16"/>
      <w:bookmarkEnd w:id="17"/>
    </w:p>
    <w:p>
      <w:pPr>
        <w:adjustRightInd w:val="0"/>
        <w:snapToGrid w:val="0"/>
        <w:spacing w:line="360" w:lineRule="auto"/>
        <w:ind w:firstLine="562" w:firstLineChars="200"/>
        <w:outlineLvl w:val="1"/>
        <w:rPr>
          <w:b/>
          <w:bCs/>
          <w:sz w:val="28"/>
          <w:szCs w:val="28"/>
        </w:rPr>
      </w:pPr>
      <w:bookmarkStart w:id="18" w:name="_Toc46674992"/>
      <w:bookmarkStart w:id="19" w:name="_Toc25212"/>
      <w:r>
        <w:rPr>
          <w:rFonts w:hint="eastAsia"/>
          <w:b/>
          <w:bCs/>
          <w:sz w:val="28"/>
          <w:szCs w:val="28"/>
        </w:rPr>
        <w:t>（一）绩效评价目的</w:t>
      </w:r>
      <w:bookmarkEnd w:id="18"/>
      <w:bookmarkEnd w:id="19"/>
    </w:p>
    <w:p>
      <w:pPr>
        <w:adjustRightInd w:val="0"/>
        <w:snapToGrid w:val="0"/>
        <w:spacing w:line="360" w:lineRule="auto"/>
        <w:ind w:firstLine="560" w:firstLineChars="200"/>
        <w:rPr>
          <w:sz w:val="28"/>
          <w:szCs w:val="28"/>
        </w:rPr>
      </w:pPr>
      <w:r>
        <w:rPr>
          <w:rFonts w:hint="eastAsia"/>
          <w:sz w:val="28"/>
          <w:szCs w:val="28"/>
        </w:rPr>
        <w:t>一方面通过对项目决策、项目管理、项目产出、项目效益的综合评价，总结经验规律，查找问题不足，提高财政专项资金使用成效，把北碚区</w:t>
      </w:r>
      <w:r>
        <w:rPr>
          <w:rFonts w:hint="eastAsia"/>
          <w:bCs/>
          <w:sz w:val="28"/>
          <w:szCs w:val="28"/>
        </w:rPr>
        <w:t>发展规划业务</w:t>
      </w:r>
      <w:r>
        <w:rPr>
          <w:rFonts w:hint="eastAsia"/>
          <w:sz w:val="28"/>
          <w:szCs w:val="28"/>
        </w:rPr>
        <w:t>项目办成惠民项目和群众满意项目。另一方面，总结推广发展规划业务的基本经验，特色做法，创新举措，对项目可持续性发展做出科学预判，为全区发展规划业务工作的以后年度决策和实施提供借鉴。</w:t>
      </w:r>
    </w:p>
    <w:p>
      <w:pPr>
        <w:adjustRightInd w:val="0"/>
        <w:snapToGrid w:val="0"/>
        <w:spacing w:line="360" w:lineRule="auto"/>
        <w:ind w:firstLine="562" w:firstLineChars="200"/>
        <w:outlineLvl w:val="1"/>
        <w:rPr>
          <w:b/>
          <w:bCs/>
          <w:sz w:val="28"/>
          <w:szCs w:val="28"/>
        </w:rPr>
      </w:pPr>
      <w:bookmarkStart w:id="20" w:name="_Toc16754"/>
      <w:bookmarkStart w:id="21" w:name="_Toc46674993"/>
      <w:r>
        <w:rPr>
          <w:rFonts w:hint="eastAsia"/>
          <w:b/>
          <w:bCs/>
          <w:sz w:val="28"/>
          <w:szCs w:val="28"/>
        </w:rPr>
        <w:t>（二）绩效评价依据</w:t>
      </w:r>
      <w:bookmarkEnd w:id="20"/>
      <w:bookmarkEnd w:id="21"/>
    </w:p>
    <w:p>
      <w:pPr>
        <w:adjustRightInd w:val="0"/>
        <w:snapToGrid w:val="0"/>
        <w:spacing w:line="360" w:lineRule="auto"/>
        <w:ind w:firstLine="560" w:firstLineChars="200"/>
        <w:rPr>
          <w:sz w:val="28"/>
          <w:szCs w:val="28"/>
        </w:rPr>
      </w:pPr>
      <w:bookmarkStart w:id="22" w:name="_Hlk46242965"/>
      <w:bookmarkStart w:id="23" w:name="_Toc4879"/>
      <w:r>
        <w:rPr>
          <w:rFonts w:hint="eastAsia"/>
          <w:sz w:val="28"/>
          <w:szCs w:val="28"/>
        </w:rPr>
        <w:t>1．《中华人民共和国预算法》；</w:t>
      </w:r>
    </w:p>
    <w:p>
      <w:pPr>
        <w:adjustRightInd w:val="0"/>
        <w:snapToGrid w:val="0"/>
        <w:spacing w:line="360" w:lineRule="auto"/>
        <w:ind w:firstLine="560" w:firstLineChars="200"/>
        <w:rPr>
          <w:sz w:val="28"/>
          <w:szCs w:val="28"/>
        </w:rPr>
      </w:pPr>
      <w:r>
        <w:rPr>
          <w:rFonts w:hint="eastAsia"/>
          <w:sz w:val="28"/>
          <w:szCs w:val="28"/>
        </w:rPr>
        <w:t>2．《关于印发&lt;项目支出绩效评价管理办法&gt;的通知》（财预〔2020〕10 号）；</w:t>
      </w:r>
    </w:p>
    <w:p>
      <w:pPr>
        <w:adjustRightInd w:val="0"/>
        <w:snapToGrid w:val="0"/>
        <w:spacing w:line="360" w:lineRule="auto"/>
        <w:ind w:firstLine="560" w:firstLineChars="200"/>
        <w:rPr>
          <w:sz w:val="28"/>
          <w:szCs w:val="28"/>
        </w:rPr>
      </w:pPr>
      <w:r>
        <w:rPr>
          <w:rFonts w:hint="eastAsia"/>
          <w:sz w:val="28"/>
          <w:szCs w:val="28"/>
        </w:rPr>
        <w:t>3．《关于贯彻落实&lt;中共中央国务院 关于全面实施预算绩效管理的意见&gt;的通知》（财预〔2018〕167号）；</w:t>
      </w:r>
    </w:p>
    <w:p>
      <w:pPr>
        <w:adjustRightInd w:val="0"/>
        <w:snapToGrid w:val="0"/>
        <w:spacing w:line="360" w:lineRule="auto"/>
        <w:ind w:firstLine="560" w:firstLineChars="200"/>
        <w:rPr>
          <w:sz w:val="28"/>
          <w:szCs w:val="28"/>
        </w:rPr>
      </w:pPr>
      <w:r>
        <w:rPr>
          <w:rFonts w:hint="eastAsia"/>
          <w:sz w:val="28"/>
          <w:szCs w:val="28"/>
        </w:rPr>
        <w:t>4．《重庆市财政局关于推进区县预算绩效管理工作的通知》（渝财绩〔2020〕1号）；</w:t>
      </w:r>
    </w:p>
    <w:p>
      <w:pPr>
        <w:adjustRightInd w:val="0"/>
        <w:snapToGrid w:val="0"/>
        <w:spacing w:line="360" w:lineRule="auto"/>
        <w:ind w:firstLine="560" w:firstLineChars="200"/>
        <w:rPr>
          <w:sz w:val="28"/>
          <w:szCs w:val="28"/>
        </w:rPr>
      </w:pPr>
      <w:r>
        <w:rPr>
          <w:rFonts w:hint="eastAsia"/>
          <w:sz w:val="28"/>
          <w:szCs w:val="28"/>
        </w:rPr>
        <w:t>5．《中共重庆市委 重庆市人民政府 关于全面实施预算绩效管理的实施意见》（渝委发〔2019〕12号）；</w:t>
      </w:r>
    </w:p>
    <w:p>
      <w:pPr>
        <w:adjustRightInd w:val="0"/>
        <w:snapToGrid w:val="0"/>
        <w:spacing w:line="360" w:lineRule="auto"/>
        <w:ind w:firstLine="560" w:firstLineChars="200"/>
        <w:rPr>
          <w:sz w:val="28"/>
          <w:szCs w:val="28"/>
        </w:rPr>
      </w:pPr>
      <w:r>
        <w:rPr>
          <w:rFonts w:hint="eastAsia"/>
          <w:sz w:val="28"/>
          <w:szCs w:val="28"/>
        </w:rPr>
        <w:t>6．《重庆市北碚区财政局关于开展2019年度政策和项目资金绩效评价（财政重点评价）工作的通知》（北碚财〔2020〕232号）；</w:t>
      </w:r>
    </w:p>
    <w:p>
      <w:pPr>
        <w:adjustRightInd w:val="0"/>
        <w:snapToGrid w:val="0"/>
        <w:spacing w:line="360" w:lineRule="auto"/>
        <w:ind w:firstLine="560" w:firstLineChars="200"/>
        <w:rPr>
          <w:sz w:val="28"/>
          <w:szCs w:val="28"/>
        </w:rPr>
      </w:pPr>
      <w:r>
        <w:rPr>
          <w:rFonts w:hint="eastAsia"/>
          <w:sz w:val="28"/>
          <w:szCs w:val="28"/>
        </w:rPr>
        <w:t>7.</w:t>
      </w:r>
      <w:r>
        <w:rPr>
          <w:rFonts w:hint="eastAsia"/>
        </w:rPr>
        <w:t xml:space="preserve"> 《</w:t>
      </w:r>
      <w:r>
        <w:rPr>
          <w:rFonts w:hint="eastAsia"/>
          <w:sz w:val="28"/>
          <w:szCs w:val="28"/>
        </w:rPr>
        <w:t>重庆市北碚区财政局关于印发&lt;重庆市北碚区区级项目支出预算管理办法&gt;的通知》（北碚财〔2019〕267号）；</w:t>
      </w:r>
    </w:p>
    <w:p>
      <w:pPr>
        <w:adjustRightInd w:val="0"/>
        <w:snapToGrid w:val="0"/>
        <w:spacing w:line="360" w:lineRule="auto"/>
        <w:ind w:firstLine="560" w:firstLineChars="200"/>
        <w:rPr>
          <w:sz w:val="28"/>
          <w:szCs w:val="28"/>
        </w:rPr>
      </w:pPr>
      <w:r>
        <w:rPr>
          <w:rFonts w:hint="eastAsia"/>
          <w:sz w:val="28"/>
          <w:szCs w:val="28"/>
        </w:rPr>
        <w:t>8．重庆市北碚财政局与天健会计师事务所（特殊普通合伙）重庆分所的业务约定书；</w:t>
      </w:r>
    </w:p>
    <w:p>
      <w:pPr>
        <w:adjustRightInd w:val="0"/>
        <w:snapToGrid w:val="0"/>
        <w:spacing w:line="360" w:lineRule="auto"/>
        <w:ind w:firstLine="560" w:firstLineChars="200"/>
        <w:rPr>
          <w:sz w:val="28"/>
          <w:szCs w:val="28"/>
        </w:rPr>
      </w:pPr>
      <w:r>
        <w:rPr>
          <w:rFonts w:hint="eastAsia"/>
          <w:sz w:val="28"/>
          <w:szCs w:val="28"/>
        </w:rPr>
        <w:t>9．本项目各相关单位提供的有关资料。</w:t>
      </w:r>
    </w:p>
    <w:bookmarkEnd w:id="22"/>
    <w:p>
      <w:pPr>
        <w:adjustRightInd w:val="0"/>
        <w:snapToGrid w:val="0"/>
        <w:spacing w:line="360" w:lineRule="auto"/>
        <w:ind w:firstLine="562" w:firstLineChars="200"/>
        <w:outlineLvl w:val="1"/>
        <w:rPr>
          <w:b/>
          <w:bCs/>
          <w:sz w:val="28"/>
          <w:szCs w:val="28"/>
        </w:rPr>
      </w:pPr>
      <w:bookmarkStart w:id="24" w:name="_Toc46674994"/>
      <w:r>
        <w:rPr>
          <w:rFonts w:hint="eastAsia"/>
          <w:b/>
          <w:bCs/>
          <w:sz w:val="28"/>
          <w:szCs w:val="28"/>
        </w:rPr>
        <w:t>（三）绩效评价主体</w:t>
      </w:r>
      <w:bookmarkEnd w:id="23"/>
      <w:bookmarkEnd w:id="24"/>
    </w:p>
    <w:p>
      <w:pPr>
        <w:adjustRightInd w:val="0"/>
        <w:snapToGrid w:val="0"/>
        <w:spacing w:line="360" w:lineRule="auto"/>
        <w:ind w:firstLine="560" w:firstLineChars="200"/>
        <w:rPr>
          <w:sz w:val="28"/>
          <w:szCs w:val="28"/>
        </w:rPr>
      </w:pPr>
      <w:r>
        <w:rPr>
          <w:rFonts w:hint="eastAsia"/>
          <w:sz w:val="28"/>
          <w:szCs w:val="28"/>
        </w:rPr>
        <w:t>本项目绩效评价工作由区财政局统一组织，天健会计师事务所（特殊普通合伙）重庆分所组成绩效评价工作组，具体负责评价工作的实施和管理，受评单位共同参与。</w:t>
      </w:r>
    </w:p>
    <w:p>
      <w:pPr>
        <w:adjustRightInd w:val="0"/>
        <w:snapToGrid w:val="0"/>
        <w:spacing w:line="360" w:lineRule="auto"/>
        <w:ind w:firstLine="562" w:firstLineChars="200"/>
        <w:outlineLvl w:val="1"/>
        <w:rPr>
          <w:b/>
          <w:bCs/>
          <w:sz w:val="28"/>
          <w:szCs w:val="28"/>
        </w:rPr>
      </w:pPr>
      <w:bookmarkStart w:id="25" w:name="_Toc12458"/>
      <w:bookmarkStart w:id="26" w:name="_Toc46674995"/>
      <w:r>
        <w:rPr>
          <w:rFonts w:hint="eastAsia"/>
          <w:b/>
          <w:bCs/>
          <w:sz w:val="28"/>
          <w:szCs w:val="28"/>
        </w:rPr>
        <w:t>（四）绩效评价原则</w:t>
      </w:r>
      <w:bookmarkEnd w:id="25"/>
      <w:bookmarkEnd w:id="26"/>
    </w:p>
    <w:p>
      <w:pPr>
        <w:adjustRightInd w:val="0"/>
        <w:snapToGrid w:val="0"/>
        <w:spacing w:line="360" w:lineRule="auto"/>
        <w:ind w:firstLine="560" w:firstLineChars="200"/>
        <w:rPr>
          <w:sz w:val="28"/>
          <w:szCs w:val="28"/>
        </w:rPr>
      </w:pPr>
      <w:r>
        <w:rPr>
          <w:rFonts w:hint="eastAsia"/>
          <w:sz w:val="28"/>
          <w:szCs w:val="28"/>
        </w:rPr>
        <w:t>工作组秉承科学规范、客观公正、定性定量、可操作性强、适度性高的原则。</w:t>
      </w:r>
    </w:p>
    <w:p>
      <w:pPr>
        <w:adjustRightInd w:val="0"/>
        <w:snapToGrid w:val="0"/>
        <w:spacing w:line="360" w:lineRule="auto"/>
        <w:ind w:firstLine="562" w:firstLineChars="200"/>
        <w:outlineLvl w:val="1"/>
        <w:rPr>
          <w:b/>
          <w:bCs/>
          <w:sz w:val="28"/>
          <w:szCs w:val="28"/>
        </w:rPr>
      </w:pPr>
      <w:bookmarkStart w:id="27" w:name="_Toc18094"/>
      <w:bookmarkStart w:id="28" w:name="_Toc46674996"/>
      <w:r>
        <w:rPr>
          <w:rFonts w:hint="eastAsia"/>
          <w:b/>
          <w:bCs/>
          <w:sz w:val="28"/>
          <w:szCs w:val="28"/>
        </w:rPr>
        <w:t>（五）评价方法</w:t>
      </w:r>
      <w:bookmarkEnd w:id="27"/>
      <w:bookmarkEnd w:id="28"/>
    </w:p>
    <w:p>
      <w:pPr>
        <w:adjustRightInd w:val="0"/>
        <w:snapToGrid w:val="0"/>
        <w:spacing w:line="360" w:lineRule="auto"/>
        <w:ind w:firstLine="560" w:firstLineChars="200"/>
        <w:rPr>
          <w:sz w:val="28"/>
          <w:szCs w:val="28"/>
        </w:rPr>
      </w:pPr>
      <w:r>
        <w:rPr>
          <w:rFonts w:hint="eastAsia"/>
          <w:sz w:val="28"/>
          <w:szCs w:val="28"/>
        </w:rPr>
        <w:t>1．文献研究法：对项目文件的资料进行研究分析，包括：项目管理文件、项目预算资金文件、项目实施过程中形成的资料等。</w:t>
      </w:r>
    </w:p>
    <w:p>
      <w:pPr>
        <w:adjustRightInd w:val="0"/>
        <w:snapToGrid w:val="0"/>
        <w:spacing w:line="360" w:lineRule="auto"/>
        <w:ind w:firstLine="560" w:firstLineChars="200"/>
        <w:rPr>
          <w:sz w:val="28"/>
          <w:szCs w:val="28"/>
        </w:rPr>
      </w:pPr>
      <w:r>
        <w:rPr>
          <w:rFonts w:hint="eastAsia"/>
          <w:sz w:val="28"/>
          <w:szCs w:val="28"/>
        </w:rPr>
        <w:t>2．比较分析法：把两个相互联系的指标数据加以比较分析，借以作出程度性判断，分绝对数比较和相对数比较。</w:t>
      </w:r>
    </w:p>
    <w:p>
      <w:pPr>
        <w:adjustRightInd w:val="0"/>
        <w:snapToGrid w:val="0"/>
        <w:spacing w:line="360" w:lineRule="auto"/>
        <w:ind w:firstLine="560" w:firstLineChars="200"/>
        <w:rPr>
          <w:sz w:val="28"/>
          <w:szCs w:val="28"/>
        </w:rPr>
      </w:pPr>
      <w:r>
        <w:rPr>
          <w:rFonts w:hint="eastAsia"/>
          <w:sz w:val="28"/>
          <w:szCs w:val="28"/>
        </w:rPr>
        <w:t>3．问卷调查法：电话访问北碚区当地居民，发放并收回有效问卷共计10份，围绕北碚区发展规划业务项目开展广泛调查，获取一手资料。</w:t>
      </w:r>
    </w:p>
    <w:p>
      <w:pPr>
        <w:adjustRightInd w:val="0"/>
        <w:snapToGrid w:val="0"/>
        <w:spacing w:line="360" w:lineRule="auto"/>
        <w:ind w:firstLine="560" w:firstLineChars="200"/>
        <w:rPr>
          <w:sz w:val="28"/>
          <w:szCs w:val="28"/>
        </w:rPr>
      </w:pPr>
      <w:r>
        <w:rPr>
          <w:rFonts w:hint="eastAsia"/>
          <w:sz w:val="28"/>
          <w:szCs w:val="28"/>
        </w:rPr>
        <w:t>4．访谈法：工作组对区发改委财务及相关工作人员进行了访谈，根据被询问者的答复搜集客观的、不带偏见的实事材料和评语。</w:t>
      </w:r>
    </w:p>
    <w:p>
      <w:pPr>
        <w:adjustRightInd w:val="0"/>
        <w:snapToGrid w:val="0"/>
        <w:spacing w:line="360" w:lineRule="auto"/>
        <w:ind w:firstLine="560" w:firstLineChars="200"/>
        <w:rPr>
          <w:sz w:val="28"/>
          <w:szCs w:val="28"/>
        </w:rPr>
      </w:pPr>
      <w:r>
        <w:rPr>
          <w:rFonts w:hint="eastAsia"/>
          <w:sz w:val="28"/>
          <w:szCs w:val="28"/>
        </w:rPr>
        <w:t>5．抽查法：工作组抽查了2个报告的撰写质量，对项目相关的财务凭证进行了核对查验。</w:t>
      </w:r>
    </w:p>
    <w:p>
      <w:pPr>
        <w:adjustRightInd w:val="0"/>
        <w:snapToGrid w:val="0"/>
        <w:spacing w:line="360" w:lineRule="auto"/>
        <w:ind w:firstLine="560" w:firstLineChars="200"/>
        <w:rPr>
          <w:sz w:val="28"/>
          <w:szCs w:val="28"/>
        </w:rPr>
      </w:pPr>
    </w:p>
    <w:p>
      <w:pPr>
        <w:adjustRightInd w:val="0"/>
        <w:snapToGrid w:val="0"/>
        <w:spacing w:line="360" w:lineRule="auto"/>
        <w:ind w:firstLine="562" w:firstLineChars="200"/>
        <w:outlineLvl w:val="1"/>
        <w:rPr>
          <w:b/>
          <w:bCs/>
          <w:sz w:val="28"/>
          <w:szCs w:val="28"/>
        </w:rPr>
      </w:pPr>
      <w:bookmarkStart w:id="29" w:name="_Toc46674997"/>
      <w:bookmarkStart w:id="30" w:name="_Toc1430"/>
      <w:r>
        <w:rPr>
          <w:rFonts w:hint="eastAsia"/>
          <w:b/>
          <w:bCs/>
          <w:sz w:val="28"/>
          <w:szCs w:val="28"/>
        </w:rPr>
        <w:t>（六）评价指标</w:t>
      </w:r>
      <w:bookmarkEnd w:id="29"/>
      <w:bookmarkEnd w:id="30"/>
    </w:p>
    <w:p>
      <w:pPr>
        <w:adjustRightInd w:val="0"/>
        <w:snapToGrid w:val="0"/>
        <w:spacing w:line="360" w:lineRule="auto"/>
        <w:ind w:firstLine="560" w:firstLineChars="200"/>
        <w:outlineLvl w:val="2"/>
        <w:rPr>
          <w:bCs/>
          <w:sz w:val="28"/>
          <w:szCs w:val="28"/>
        </w:rPr>
      </w:pPr>
      <w:bookmarkStart w:id="31" w:name="_Toc7607"/>
      <w:bookmarkStart w:id="32" w:name="_Toc46674998"/>
      <w:r>
        <w:rPr>
          <w:rFonts w:hint="eastAsia"/>
          <w:bCs/>
          <w:sz w:val="28"/>
          <w:szCs w:val="28"/>
        </w:rPr>
        <w:t>1．整体框架</w:t>
      </w:r>
      <w:bookmarkEnd w:id="31"/>
      <w:bookmarkEnd w:id="32"/>
    </w:p>
    <w:p>
      <w:pPr>
        <w:adjustRightInd w:val="0"/>
        <w:snapToGrid w:val="0"/>
        <w:spacing w:line="360" w:lineRule="auto"/>
        <w:ind w:firstLine="560" w:firstLineChars="200"/>
        <w:rPr>
          <w:sz w:val="28"/>
          <w:szCs w:val="28"/>
        </w:rPr>
      </w:pPr>
      <w:r>
        <w:rPr>
          <w:rFonts w:hint="eastAsia"/>
          <w:sz w:val="28"/>
          <w:szCs w:val="28"/>
        </w:rPr>
        <w:t>工作组在前期调研、资料搜集、文献查阅基础上、拟定了绩效评价指标体系初稿，按照《关于印发&lt;项目支出绩效评价管理办法&gt;的通知》（财预〔2020〕10 号）制定了指标体系及评价标准。整个指标体系共设有项目决策（15分）、过程管理（20分）、项目产出（30分）、项目效益（35分）4个一级指标，10个二级指标，19个三级指标。详见附件1：《北碚区20</w:t>
      </w:r>
      <w:r>
        <w:rPr>
          <w:sz w:val="28"/>
          <w:szCs w:val="28"/>
        </w:rPr>
        <w:t>19</w:t>
      </w:r>
      <w:r>
        <w:rPr>
          <w:rFonts w:hint="eastAsia"/>
          <w:sz w:val="28"/>
          <w:szCs w:val="28"/>
        </w:rPr>
        <w:t>年度发展规划业务项目绩效评价指标体系评分表》。</w:t>
      </w:r>
    </w:p>
    <w:p>
      <w:pPr>
        <w:adjustRightInd w:val="0"/>
        <w:snapToGrid w:val="0"/>
        <w:spacing w:line="360" w:lineRule="auto"/>
        <w:ind w:firstLine="560" w:firstLineChars="200"/>
        <w:outlineLvl w:val="2"/>
        <w:rPr>
          <w:bCs/>
          <w:sz w:val="28"/>
          <w:szCs w:val="28"/>
        </w:rPr>
      </w:pPr>
      <w:bookmarkStart w:id="33" w:name="_Toc46674999"/>
      <w:bookmarkStart w:id="34" w:name="_Toc4023"/>
      <w:r>
        <w:rPr>
          <w:rFonts w:hint="eastAsia"/>
          <w:bCs/>
          <w:sz w:val="28"/>
          <w:szCs w:val="28"/>
        </w:rPr>
        <w:t>2．记分原则</w:t>
      </w:r>
      <w:bookmarkEnd w:id="33"/>
      <w:bookmarkEnd w:id="34"/>
    </w:p>
    <w:p>
      <w:pPr>
        <w:adjustRightInd w:val="0"/>
        <w:snapToGrid w:val="0"/>
        <w:spacing w:line="360" w:lineRule="auto"/>
        <w:ind w:firstLine="560" w:firstLineChars="200"/>
        <w:rPr>
          <w:sz w:val="28"/>
          <w:szCs w:val="28"/>
        </w:rPr>
      </w:pPr>
      <w:r>
        <w:rPr>
          <w:rFonts w:hint="eastAsia"/>
          <w:sz w:val="28"/>
          <w:szCs w:val="28"/>
        </w:rPr>
        <w:t>对于能通过数学公式或者比较法则准确计算出得分的子指标项，采用计算结果作为这一项子指标得分。另外由于大部分共性指标具有定性讨论的特点，在对其子指标项评价时不能依据准确的表达公式计算出得分。为此由工作组根据实际考察情况进行主观认知评分—如果是多位人员打分，则把人员对单项指标的评价结论经过转换汇总后除以总人数，得到这一项子指标的分数。</w:t>
      </w:r>
    </w:p>
    <w:p>
      <w:pPr>
        <w:adjustRightInd w:val="0"/>
        <w:snapToGrid w:val="0"/>
        <w:spacing w:line="360" w:lineRule="auto"/>
        <w:ind w:firstLine="560" w:firstLineChars="200"/>
        <w:outlineLvl w:val="2"/>
        <w:rPr>
          <w:bCs/>
          <w:sz w:val="28"/>
          <w:szCs w:val="28"/>
        </w:rPr>
      </w:pPr>
      <w:bookmarkStart w:id="35" w:name="_Toc46675000"/>
      <w:bookmarkStart w:id="36" w:name="_Toc8125"/>
      <w:r>
        <w:rPr>
          <w:rFonts w:hint="eastAsia"/>
          <w:bCs/>
          <w:sz w:val="28"/>
          <w:szCs w:val="28"/>
        </w:rPr>
        <w:t>3．结果判定</w:t>
      </w:r>
      <w:bookmarkEnd w:id="35"/>
      <w:bookmarkEnd w:id="36"/>
    </w:p>
    <w:p>
      <w:pPr>
        <w:adjustRightInd w:val="0"/>
        <w:snapToGrid w:val="0"/>
        <w:spacing w:line="360" w:lineRule="auto"/>
        <w:ind w:firstLine="560" w:firstLineChars="200"/>
        <w:rPr>
          <w:sz w:val="28"/>
          <w:szCs w:val="28"/>
        </w:rPr>
      </w:pPr>
      <w:r>
        <w:rPr>
          <w:rFonts w:hint="eastAsia"/>
          <w:sz w:val="28"/>
          <w:szCs w:val="28"/>
        </w:rPr>
        <w:t>每类指标及其子指标分值给出了具体计算明细，各子指标项得分汇总后可得项目最终绩效评价分数。根据总分的高低确定被评价项目最后所达到的等级，等级标准如下表2-1所示：</w:t>
      </w:r>
    </w:p>
    <w:tbl>
      <w:tblPr>
        <w:tblStyle w:val="14"/>
        <w:tblpPr w:leftFromText="180" w:rightFromText="180" w:vertAnchor="text" w:horzAnchor="page" w:tblpX="1792" w:tblpY="47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34"/>
        <w:gridCol w:w="147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04" w:type="dxa"/>
            <w:vAlign w:val="center"/>
          </w:tcPr>
          <w:p>
            <w:pPr>
              <w:adjustRightInd w:val="0"/>
              <w:snapToGrid w:val="0"/>
              <w:jc w:val="center"/>
              <w:rPr>
                <w:sz w:val="24"/>
              </w:rPr>
            </w:pPr>
            <w:r>
              <w:rPr>
                <w:rFonts w:hint="eastAsia"/>
                <w:sz w:val="24"/>
              </w:rPr>
              <w:t>评价总分</w:t>
            </w:r>
          </w:p>
        </w:tc>
        <w:tc>
          <w:tcPr>
            <w:tcW w:w="1934" w:type="dxa"/>
            <w:vAlign w:val="center"/>
          </w:tcPr>
          <w:p>
            <w:pPr>
              <w:adjustRightInd w:val="0"/>
              <w:snapToGrid w:val="0"/>
              <w:jc w:val="center"/>
              <w:rPr>
                <w:sz w:val="24"/>
              </w:rPr>
            </w:pPr>
            <w:r>
              <w:rPr>
                <w:rFonts w:hint="eastAsia"/>
                <w:sz w:val="24"/>
              </w:rPr>
              <w:t>[</w:t>
            </w:r>
            <w:r>
              <w:rPr>
                <w:sz w:val="24"/>
              </w:rPr>
              <w:t>0</w:t>
            </w:r>
            <w:r>
              <w:rPr>
                <w:rFonts w:hint="eastAsia"/>
                <w:sz w:val="24"/>
              </w:rPr>
              <w:t>，</w:t>
            </w:r>
            <w:r>
              <w:rPr>
                <w:sz w:val="24"/>
              </w:rPr>
              <w:t>60</w:t>
            </w:r>
            <w:r>
              <w:rPr>
                <w:rFonts w:hint="eastAsia"/>
                <w:b/>
                <w:sz w:val="24"/>
              </w:rPr>
              <w:t>）</w:t>
            </w:r>
          </w:p>
        </w:tc>
        <w:tc>
          <w:tcPr>
            <w:tcW w:w="1474" w:type="dxa"/>
            <w:vAlign w:val="center"/>
          </w:tcPr>
          <w:p>
            <w:pPr>
              <w:adjustRightInd w:val="0"/>
              <w:snapToGrid w:val="0"/>
              <w:jc w:val="center"/>
              <w:rPr>
                <w:sz w:val="24"/>
              </w:rPr>
            </w:pPr>
            <w:r>
              <w:rPr>
                <w:rFonts w:hint="eastAsia"/>
                <w:sz w:val="24"/>
              </w:rPr>
              <w:t>[</w:t>
            </w:r>
            <w:r>
              <w:rPr>
                <w:sz w:val="24"/>
              </w:rPr>
              <w:t>60</w:t>
            </w:r>
            <w:r>
              <w:rPr>
                <w:rFonts w:hint="eastAsia"/>
                <w:sz w:val="24"/>
              </w:rPr>
              <w:t>，</w:t>
            </w:r>
            <w:r>
              <w:rPr>
                <w:sz w:val="24"/>
              </w:rPr>
              <w:t>80</w:t>
            </w:r>
            <w:r>
              <w:rPr>
                <w:rFonts w:hint="eastAsia"/>
                <w:b/>
                <w:sz w:val="24"/>
              </w:rPr>
              <w:t>）</w:t>
            </w:r>
          </w:p>
        </w:tc>
        <w:tc>
          <w:tcPr>
            <w:tcW w:w="1705" w:type="dxa"/>
            <w:vAlign w:val="center"/>
          </w:tcPr>
          <w:p>
            <w:pPr>
              <w:adjustRightInd w:val="0"/>
              <w:snapToGrid w:val="0"/>
              <w:jc w:val="center"/>
              <w:rPr>
                <w:sz w:val="24"/>
              </w:rPr>
            </w:pPr>
            <w:r>
              <w:rPr>
                <w:rFonts w:hint="eastAsia"/>
                <w:sz w:val="24"/>
              </w:rPr>
              <w:t>[</w:t>
            </w:r>
            <w:r>
              <w:rPr>
                <w:sz w:val="24"/>
              </w:rPr>
              <w:t>80</w:t>
            </w:r>
            <w:r>
              <w:rPr>
                <w:rFonts w:hint="eastAsia"/>
                <w:sz w:val="24"/>
              </w:rPr>
              <w:t>，</w:t>
            </w:r>
            <w:r>
              <w:rPr>
                <w:sz w:val="24"/>
              </w:rPr>
              <w:t>90</w:t>
            </w:r>
            <w:r>
              <w:rPr>
                <w:rFonts w:hint="eastAsia"/>
                <w:b/>
                <w:sz w:val="24"/>
              </w:rPr>
              <w:t>）</w:t>
            </w:r>
          </w:p>
        </w:tc>
        <w:tc>
          <w:tcPr>
            <w:tcW w:w="1705" w:type="dxa"/>
            <w:vAlign w:val="center"/>
          </w:tcPr>
          <w:p>
            <w:pPr>
              <w:adjustRightInd w:val="0"/>
              <w:snapToGrid w:val="0"/>
              <w:jc w:val="center"/>
              <w:rPr>
                <w:sz w:val="24"/>
              </w:rPr>
            </w:pPr>
            <w:r>
              <w:rPr>
                <w:rFonts w:hint="eastAsia"/>
                <w:sz w:val="24"/>
              </w:rPr>
              <w:t>[</w:t>
            </w:r>
            <w:r>
              <w:rPr>
                <w:sz w:val="24"/>
              </w:rPr>
              <w:t>90</w:t>
            </w:r>
            <w:r>
              <w:rPr>
                <w:rFonts w:hint="eastAsia"/>
                <w:sz w:val="24"/>
              </w:rPr>
              <w:t>，</w:t>
            </w:r>
            <w:r>
              <w:rPr>
                <w:sz w:val="24"/>
              </w:rPr>
              <w:t>10</w:t>
            </w:r>
            <w:r>
              <w:rPr>
                <w:rFonts w:hint="eastAsia"/>
                <w:sz w:val="24"/>
              </w:rPr>
              <w:t>0</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04" w:type="dxa"/>
            <w:vAlign w:val="center"/>
          </w:tcPr>
          <w:p>
            <w:pPr>
              <w:adjustRightInd w:val="0"/>
              <w:snapToGrid w:val="0"/>
              <w:jc w:val="center"/>
              <w:rPr>
                <w:sz w:val="24"/>
              </w:rPr>
            </w:pPr>
            <w:r>
              <w:rPr>
                <w:rFonts w:hint="eastAsia"/>
                <w:sz w:val="24"/>
              </w:rPr>
              <w:t>评价等级</w:t>
            </w:r>
          </w:p>
        </w:tc>
        <w:tc>
          <w:tcPr>
            <w:tcW w:w="1934" w:type="dxa"/>
            <w:vAlign w:val="center"/>
          </w:tcPr>
          <w:p>
            <w:pPr>
              <w:adjustRightInd w:val="0"/>
              <w:snapToGrid w:val="0"/>
              <w:jc w:val="center"/>
              <w:rPr>
                <w:sz w:val="24"/>
              </w:rPr>
            </w:pPr>
            <w:r>
              <w:rPr>
                <w:rFonts w:hint="eastAsia"/>
                <w:sz w:val="24"/>
              </w:rPr>
              <w:t>差</w:t>
            </w:r>
          </w:p>
        </w:tc>
        <w:tc>
          <w:tcPr>
            <w:tcW w:w="1474" w:type="dxa"/>
            <w:vAlign w:val="center"/>
          </w:tcPr>
          <w:p>
            <w:pPr>
              <w:adjustRightInd w:val="0"/>
              <w:snapToGrid w:val="0"/>
              <w:jc w:val="center"/>
              <w:rPr>
                <w:sz w:val="24"/>
              </w:rPr>
            </w:pPr>
            <w:r>
              <w:rPr>
                <w:rFonts w:hint="eastAsia"/>
                <w:sz w:val="24"/>
              </w:rPr>
              <w:t>中</w:t>
            </w:r>
          </w:p>
        </w:tc>
        <w:tc>
          <w:tcPr>
            <w:tcW w:w="1705" w:type="dxa"/>
            <w:vAlign w:val="center"/>
          </w:tcPr>
          <w:p>
            <w:pPr>
              <w:adjustRightInd w:val="0"/>
              <w:snapToGrid w:val="0"/>
              <w:jc w:val="center"/>
              <w:rPr>
                <w:sz w:val="24"/>
              </w:rPr>
            </w:pPr>
            <w:r>
              <w:rPr>
                <w:rFonts w:hint="eastAsia"/>
                <w:sz w:val="24"/>
              </w:rPr>
              <w:t>良</w:t>
            </w:r>
          </w:p>
        </w:tc>
        <w:tc>
          <w:tcPr>
            <w:tcW w:w="1705" w:type="dxa"/>
            <w:vAlign w:val="center"/>
          </w:tcPr>
          <w:p>
            <w:pPr>
              <w:adjustRightInd w:val="0"/>
              <w:snapToGrid w:val="0"/>
              <w:jc w:val="center"/>
              <w:rPr>
                <w:sz w:val="24"/>
              </w:rPr>
            </w:pPr>
            <w:r>
              <w:rPr>
                <w:rFonts w:hint="eastAsia"/>
                <w:sz w:val="24"/>
              </w:rPr>
              <w:t>优</w:t>
            </w:r>
          </w:p>
        </w:tc>
      </w:tr>
    </w:tbl>
    <w:p>
      <w:pPr>
        <w:snapToGrid w:val="0"/>
        <w:spacing w:line="240" w:lineRule="atLeast"/>
        <w:ind w:firstLine="560" w:firstLineChars="200"/>
        <w:jc w:val="center"/>
        <w:rPr>
          <w:b/>
          <w:bCs/>
          <w:sz w:val="28"/>
          <w:szCs w:val="28"/>
        </w:rPr>
      </w:pPr>
      <w:r>
        <w:rPr>
          <w:rFonts w:hint="eastAsia"/>
          <w:sz w:val="28"/>
          <w:szCs w:val="28"/>
        </w:rPr>
        <w:t>表2-1 绩效评价结果判定表</w:t>
      </w:r>
    </w:p>
    <w:p>
      <w:pPr>
        <w:snapToGrid w:val="0"/>
        <w:spacing w:before="312" w:beforeLines="100" w:line="360" w:lineRule="auto"/>
        <w:ind w:firstLine="562" w:firstLineChars="200"/>
        <w:outlineLvl w:val="1"/>
        <w:rPr>
          <w:b/>
          <w:bCs/>
          <w:sz w:val="28"/>
          <w:szCs w:val="28"/>
        </w:rPr>
      </w:pPr>
      <w:bookmarkStart w:id="37" w:name="_Toc46675001"/>
      <w:bookmarkStart w:id="38" w:name="_Toc15882"/>
      <w:r>
        <w:rPr>
          <w:rFonts w:hint="eastAsia"/>
          <w:b/>
          <w:bCs/>
          <w:sz w:val="28"/>
          <w:szCs w:val="28"/>
        </w:rPr>
        <w:t>（七）评价过程</w:t>
      </w:r>
      <w:bookmarkEnd w:id="37"/>
      <w:bookmarkEnd w:id="38"/>
    </w:p>
    <w:p>
      <w:pPr>
        <w:adjustRightInd w:val="0"/>
        <w:snapToGrid w:val="0"/>
        <w:spacing w:line="360" w:lineRule="auto"/>
        <w:ind w:firstLine="562" w:firstLineChars="200"/>
        <w:rPr>
          <w:sz w:val="28"/>
          <w:szCs w:val="28"/>
        </w:rPr>
      </w:pPr>
      <w:r>
        <w:rPr>
          <w:rFonts w:hint="eastAsia"/>
          <w:b/>
          <w:bCs/>
          <w:sz w:val="28"/>
          <w:szCs w:val="28"/>
        </w:rPr>
        <w:t>前期准备</w:t>
      </w:r>
      <w:r>
        <w:rPr>
          <w:rFonts w:hint="eastAsia"/>
          <w:sz w:val="28"/>
          <w:szCs w:val="28"/>
        </w:rPr>
        <w:t>：2020年6月5日区财政局下发《关于开展2019年度政策和项目资金绩效评价（财政重点评价）工作的通知》（北碚财〔2020〕232号）；2020年6月9日，区财政局组织成立工作组，并启动北碚区20</w:t>
      </w:r>
      <w:r>
        <w:rPr>
          <w:sz w:val="28"/>
          <w:szCs w:val="28"/>
        </w:rPr>
        <w:t>19</w:t>
      </w:r>
      <w:r>
        <w:rPr>
          <w:rFonts w:hint="eastAsia"/>
          <w:sz w:val="28"/>
          <w:szCs w:val="28"/>
        </w:rPr>
        <w:t>年发展规划业务项目的绩效评价工作；2020年6月1</w:t>
      </w:r>
      <w:r>
        <w:rPr>
          <w:sz w:val="28"/>
          <w:szCs w:val="28"/>
        </w:rPr>
        <w:t>1</w:t>
      </w:r>
      <w:r>
        <w:rPr>
          <w:rFonts w:hint="eastAsia"/>
          <w:sz w:val="28"/>
          <w:szCs w:val="28"/>
        </w:rPr>
        <w:t>日，工作组和区发改委财务人员在区发改委办公室召开了项目进场会。</w:t>
      </w:r>
    </w:p>
    <w:p>
      <w:pPr>
        <w:adjustRightInd w:val="0"/>
        <w:snapToGrid w:val="0"/>
        <w:spacing w:line="360" w:lineRule="auto"/>
        <w:ind w:firstLine="562" w:firstLineChars="200"/>
        <w:rPr>
          <w:sz w:val="28"/>
          <w:szCs w:val="28"/>
        </w:rPr>
      </w:pPr>
      <w:r>
        <w:rPr>
          <w:rFonts w:hint="eastAsia"/>
          <w:b/>
          <w:bCs/>
          <w:sz w:val="28"/>
          <w:szCs w:val="28"/>
        </w:rPr>
        <w:t>组织实施</w:t>
      </w:r>
      <w:r>
        <w:rPr>
          <w:rFonts w:hint="eastAsia"/>
          <w:sz w:val="28"/>
          <w:szCs w:val="28"/>
        </w:rPr>
        <w:t>：2020年6月1</w:t>
      </w:r>
      <w:r>
        <w:rPr>
          <w:sz w:val="28"/>
          <w:szCs w:val="28"/>
        </w:rPr>
        <w:t>1</w:t>
      </w:r>
      <w:r>
        <w:rPr>
          <w:rFonts w:hint="eastAsia"/>
          <w:sz w:val="28"/>
          <w:szCs w:val="28"/>
        </w:rPr>
        <w:t>日至14日，工作组在区发改委收集项目相关资料；2020年6月15日至30日，整理收集到的资料并进行分析，对项目进行流程再造，制定项目工作问卷，校正指标体系初稿。2020年7月1日至5日工作组对随机抽取的10名群众实施问卷调查。</w:t>
      </w:r>
    </w:p>
    <w:p>
      <w:pPr>
        <w:adjustRightInd w:val="0"/>
        <w:snapToGrid w:val="0"/>
        <w:spacing w:line="360" w:lineRule="auto"/>
        <w:ind w:firstLine="562" w:firstLineChars="200"/>
        <w:rPr>
          <w:sz w:val="28"/>
          <w:szCs w:val="28"/>
        </w:rPr>
      </w:pPr>
      <w:r>
        <w:rPr>
          <w:rFonts w:hint="eastAsia"/>
          <w:b/>
          <w:bCs/>
          <w:sz w:val="28"/>
          <w:szCs w:val="28"/>
        </w:rPr>
        <w:t>分析评价形成报告</w:t>
      </w:r>
      <w:r>
        <w:rPr>
          <w:rFonts w:hint="eastAsia"/>
          <w:sz w:val="28"/>
          <w:szCs w:val="28"/>
        </w:rPr>
        <w:t>：2020年7月5日至19日，工作组整理工作底稿，根据工作进度安排，形成绩效评价报告初稿，7月20日至23日送达相关部门征求意见，最终形成《北碚区20</w:t>
      </w:r>
      <w:r>
        <w:rPr>
          <w:sz w:val="28"/>
          <w:szCs w:val="28"/>
        </w:rPr>
        <w:t>19</w:t>
      </w:r>
      <w:r>
        <w:rPr>
          <w:rFonts w:hint="eastAsia"/>
          <w:sz w:val="28"/>
          <w:szCs w:val="28"/>
        </w:rPr>
        <w:t>年度发展规划业务项目绩效评价报告》。</w:t>
      </w:r>
    </w:p>
    <w:p>
      <w:pPr>
        <w:adjustRightInd w:val="0"/>
        <w:snapToGrid w:val="0"/>
        <w:spacing w:line="360" w:lineRule="auto"/>
        <w:ind w:firstLine="560" w:firstLineChars="200"/>
        <w:rPr>
          <w:sz w:val="28"/>
          <w:szCs w:val="28"/>
        </w:rPr>
      </w:pPr>
    </w:p>
    <w:p>
      <w:pPr>
        <w:adjustRightInd w:val="0"/>
        <w:snapToGrid w:val="0"/>
        <w:spacing w:line="360" w:lineRule="auto"/>
        <w:ind w:firstLine="562" w:firstLineChars="200"/>
        <w:outlineLvl w:val="0"/>
        <w:rPr>
          <w:rFonts w:ascii="黑体" w:hAnsi="黑体" w:eastAsia="黑体"/>
          <w:b/>
          <w:bCs/>
          <w:sz w:val="28"/>
          <w:szCs w:val="28"/>
        </w:rPr>
      </w:pPr>
      <w:bookmarkStart w:id="39" w:name="_Toc46675002"/>
      <w:r>
        <w:rPr>
          <w:rFonts w:hint="eastAsia" w:ascii="黑体" w:hAnsi="黑体" w:eastAsia="黑体"/>
          <w:b/>
          <w:bCs/>
          <w:sz w:val="28"/>
          <w:szCs w:val="28"/>
        </w:rPr>
        <w:t>三、综合评价情况及评价结论</w:t>
      </w:r>
      <w:bookmarkEnd w:id="39"/>
    </w:p>
    <w:p>
      <w:pPr>
        <w:adjustRightInd w:val="0"/>
        <w:snapToGrid w:val="0"/>
        <w:spacing w:line="360" w:lineRule="auto"/>
        <w:ind w:firstLine="560" w:firstLineChars="200"/>
        <w:rPr>
          <w:sz w:val="28"/>
          <w:szCs w:val="28"/>
        </w:rPr>
      </w:pPr>
      <w:r>
        <w:rPr>
          <w:rFonts w:hint="eastAsia"/>
          <w:sz w:val="28"/>
          <w:szCs w:val="28"/>
        </w:rPr>
        <w:t>该项目绩效评价总体得分为</w:t>
      </w:r>
      <w:r>
        <w:rPr>
          <w:sz w:val="28"/>
          <w:szCs w:val="28"/>
        </w:rPr>
        <w:t>8</w:t>
      </w:r>
      <w:r>
        <w:rPr>
          <w:rFonts w:hint="eastAsia"/>
          <w:sz w:val="28"/>
          <w:szCs w:val="28"/>
        </w:rPr>
        <w:t>6.4</w:t>
      </w:r>
      <w:r>
        <w:rPr>
          <w:sz w:val="28"/>
          <w:szCs w:val="28"/>
        </w:rPr>
        <w:t>6</w:t>
      </w:r>
      <w:r>
        <w:rPr>
          <w:rFonts w:hint="eastAsia"/>
          <w:sz w:val="28"/>
          <w:szCs w:val="28"/>
        </w:rPr>
        <w:t>分，评价等价为良。详见附件1：《北碚区20</w:t>
      </w:r>
      <w:r>
        <w:rPr>
          <w:sz w:val="28"/>
          <w:szCs w:val="28"/>
        </w:rPr>
        <w:t>19</w:t>
      </w:r>
      <w:r>
        <w:rPr>
          <w:rFonts w:hint="eastAsia"/>
          <w:sz w:val="28"/>
          <w:szCs w:val="28"/>
        </w:rPr>
        <w:t>年度发展规划业务项目绩效评价指标体系评分表》。</w:t>
      </w:r>
    </w:p>
    <w:p>
      <w:pPr>
        <w:adjustRightInd w:val="0"/>
        <w:snapToGrid w:val="0"/>
        <w:spacing w:line="360" w:lineRule="auto"/>
        <w:rPr>
          <w:sz w:val="28"/>
          <w:szCs w:val="28"/>
        </w:rPr>
      </w:pPr>
    </w:p>
    <w:p>
      <w:pPr>
        <w:adjustRightInd w:val="0"/>
        <w:snapToGrid w:val="0"/>
        <w:spacing w:line="360" w:lineRule="auto"/>
        <w:ind w:firstLine="562" w:firstLineChars="200"/>
        <w:outlineLvl w:val="0"/>
        <w:rPr>
          <w:rFonts w:ascii="黑体" w:hAnsi="黑体" w:eastAsia="黑体"/>
          <w:b/>
          <w:bCs/>
          <w:sz w:val="28"/>
          <w:szCs w:val="28"/>
        </w:rPr>
      </w:pPr>
      <w:bookmarkStart w:id="40" w:name="_Toc14004"/>
      <w:bookmarkStart w:id="41" w:name="_Toc46675003"/>
      <w:r>
        <w:rPr>
          <w:rFonts w:hint="eastAsia" w:ascii="黑体" w:hAnsi="黑体" w:eastAsia="黑体"/>
          <w:b/>
          <w:bCs/>
          <w:sz w:val="28"/>
          <w:szCs w:val="28"/>
        </w:rPr>
        <w:t>四、</w:t>
      </w:r>
      <w:bookmarkEnd w:id="40"/>
      <w:r>
        <w:rPr>
          <w:rFonts w:hint="eastAsia" w:ascii="黑体" w:hAnsi="黑体" w:eastAsia="黑体"/>
          <w:b/>
          <w:bCs/>
          <w:sz w:val="28"/>
          <w:szCs w:val="28"/>
        </w:rPr>
        <w:t>绩效评价指标分析</w:t>
      </w:r>
      <w:bookmarkEnd w:id="41"/>
    </w:p>
    <w:p>
      <w:pPr>
        <w:adjustRightInd w:val="0"/>
        <w:snapToGrid w:val="0"/>
        <w:spacing w:line="360" w:lineRule="auto"/>
        <w:ind w:firstLine="562" w:firstLineChars="200"/>
        <w:outlineLvl w:val="1"/>
        <w:rPr>
          <w:b/>
          <w:bCs/>
          <w:sz w:val="28"/>
          <w:szCs w:val="28"/>
        </w:rPr>
      </w:pPr>
      <w:bookmarkStart w:id="42" w:name="_Toc22006"/>
      <w:bookmarkStart w:id="43" w:name="_Toc46675004"/>
      <w:r>
        <w:rPr>
          <w:rFonts w:hint="eastAsia"/>
          <w:b/>
          <w:bCs/>
          <w:sz w:val="28"/>
          <w:szCs w:val="28"/>
        </w:rPr>
        <w:t>（一）</w:t>
      </w:r>
      <w:bookmarkEnd w:id="42"/>
      <w:r>
        <w:rPr>
          <w:rFonts w:hint="eastAsia"/>
          <w:b/>
          <w:bCs/>
          <w:sz w:val="28"/>
          <w:szCs w:val="28"/>
        </w:rPr>
        <w:t>项目决策情况</w:t>
      </w:r>
      <w:bookmarkEnd w:id="43"/>
    </w:p>
    <w:p>
      <w:pPr>
        <w:adjustRightInd w:val="0"/>
        <w:snapToGrid w:val="0"/>
        <w:spacing w:line="360" w:lineRule="auto"/>
        <w:ind w:firstLine="560" w:firstLineChars="200"/>
        <w:outlineLvl w:val="2"/>
        <w:rPr>
          <w:bCs/>
          <w:sz w:val="28"/>
          <w:szCs w:val="28"/>
        </w:rPr>
      </w:pPr>
      <w:bookmarkStart w:id="44" w:name="_Toc46675005"/>
      <w:r>
        <w:rPr>
          <w:rFonts w:hint="eastAsia"/>
          <w:bCs/>
          <w:sz w:val="28"/>
          <w:szCs w:val="28"/>
        </w:rPr>
        <w:t>1．项目立项</w:t>
      </w:r>
      <w:bookmarkEnd w:id="44"/>
    </w:p>
    <w:p>
      <w:pPr>
        <w:adjustRightInd w:val="0"/>
        <w:snapToGrid w:val="0"/>
        <w:spacing w:line="360" w:lineRule="auto"/>
        <w:ind w:firstLine="560" w:firstLineChars="200"/>
        <w:rPr>
          <w:sz w:val="28"/>
          <w:szCs w:val="28"/>
        </w:rPr>
      </w:pPr>
      <w:r>
        <w:rPr>
          <w:rFonts w:hint="eastAsia"/>
          <w:sz w:val="28"/>
          <w:szCs w:val="28"/>
        </w:rPr>
        <w:t>该项目立项符合《北碚区</w:t>
      </w:r>
      <w:r>
        <w:rPr>
          <w:rFonts w:hint="eastAsia"/>
          <w:sz w:val="28"/>
          <w:szCs w:val="28"/>
          <w:lang w:eastAsia="zh-CN"/>
        </w:rPr>
        <w:t>“</w:t>
      </w:r>
      <w:r>
        <w:rPr>
          <w:rFonts w:hint="eastAsia"/>
          <w:sz w:val="28"/>
          <w:szCs w:val="28"/>
        </w:rPr>
        <w:t>十三五</w:t>
      </w:r>
      <w:bookmarkStart w:id="71" w:name="_GoBack"/>
      <w:bookmarkEnd w:id="71"/>
      <w:r>
        <w:rPr>
          <w:rFonts w:hint="eastAsia"/>
          <w:sz w:val="28"/>
          <w:szCs w:val="28"/>
          <w:lang w:eastAsia="zh-CN"/>
        </w:rPr>
        <w:t>”</w:t>
      </w:r>
      <w:r>
        <w:rPr>
          <w:rFonts w:hint="eastAsia"/>
          <w:sz w:val="28"/>
          <w:szCs w:val="28"/>
        </w:rPr>
        <w:t>规划的建议》，保持经济社会平稳较快发展，提高发展质量和效益，加强以保障和改善民生为重点的社会建设；</w:t>
      </w:r>
      <w:r>
        <w:rPr>
          <w:rFonts w:hint="eastAsia"/>
          <w:bCs/>
          <w:sz w:val="28"/>
          <w:szCs w:val="28"/>
        </w:rPr>
        <w:t>属于区发改委要求的职责范围内，是北碚区发展规划业务履职所需；</w:t>
      </w:r>
      <w:r>
        <w:rPr>
          <w:rFonts w:hint="eastAsia"/>
          <w:sz w:val="28"/>
          <w:szCs w:val="28"/>
        </w:rPr>
        <w:t>根据《国务院关于推进中央与地方财政事权和支出责任划分改革的指导意见》（国发〔2016〕49号），</w:t>
      </w:r>
      <w:r>
        <w:rPr>
          <w:rFonts w:hint="eastAsia"/>
          <w:bCs/>
          <w:sz w:val="28"/>
          <w:szCs w:val="28"/>
        </w:rPr>
        <w:t>该项目属于北碚区基本公共服务，财务支出责任与财政事权相匹配，同时</w:t>
      </w:r>
      <w:r>
        <w:rPr>
          <w:rFonts w:hint="eastAsia"/>
          <w:sz w:val="28"/>
          <w:szCs w:val="28"/>
        </w:rPr>
        <w:t>项目的申报、批复符合程序及要求。</w:t>
      </w:r>
    </w:p>
    <w:p>
      <w:pPr>
        <w:adjustRightInd w:val="0"/>
        <w:snapToGrid w:val="0"/>
        <w:spacing w:line="360" w:lineRule="auto"/>
        <w:ind w:firstLine="562" w:firstLineChars="200"/>
        <w:rPr>
          <w:b/>
          <w:sz w:val="28"/>
          <w:szCs w:val="28"/>
        </w:rPr>
      </w:pPr>
      <w:r>
        <w:rPr>
          <w:rFonts w:hint="eastAsia"/>
          <w:b/>
          <w:sz w:val="28"/>
          <w:szCs w:val="28"/>
        </w:rPr>
        <w:t>项目立项依据较为充分，立项程序基本规范。</w:t>
      </w:r>
    </w:p>
    <w:p>
      <w:pPr>
        <w:adjustRightInd w:val="0"/>
        <w:snapToGrid w:val="0"/>
        <w:spacing w:line="360" w:lineRule="auto"/>
        <w:ind w:firstLine="560" w:firstLineChars="200"/>
        <w:outlineLvl w:val="2"/>
        <w:rPr>
          <w:bCs/>
          <w:sz w:val="28"/>
          <w:szCs w:val="28"/>
        </w:rPr>
      </w:pPr>
      <w:bookmarkStart w:id="45" w:name="_Toc46675006"/>
      <w:r>
        <w:rPr>
          <w:rFonts w:hint="eastAsia"/>
          <w:bCs/>
          <w:sz w:val="28"/>
          <w:szCs w:val="28"/>
        </w:rPr>
        <w:t>2．绩效目标</w:t>
      </w:r>
      <w:bookmarkEnd w:id="45"/>
    </w:p>
    <w:p>
      <w:pPr>
        <w:adjustRightInd w:val="0"/>
        <w:snapToGrid w:val="0"/>
        <w:spacing w:line="360" w:lineRule="auto"/>
        <w:ind w:firstLine="560" w:firstLineChars="200"/>
        <w:rPr>
          <w:sz w:val="28"/>
          <w:szCs w:val="28"/>
        </w:rPr>
      </w:pPr>
      <w:r>
        <w:rPr>
          <w:rFonts w:hint="eastAsia"/>
          <w:sz w:val="28"/>
          <w:szCs w:val="28"/>
        </w:rPr>
        <w:t>该项目未设置绩效目标，绩效目标未细化分解为具体的绩效指标，没有清晰、可衡量的指标值。</w:t>
      </w:r>
    </w:p>
    <w:p>
      <w:pPr>
        <w:adjustRightInd w:val="0"/>
        <w:snapToGrid w:val="0"/>
        <w:spacing w:line="360" w:lineRule="auto"/>
        <w:ind w:firstLine="562" w:firstLineChars="200"/>
        <w:rPr>
          <w:b/>
          <w:sz w:val="28"/>
          <w:szCs w:val="28"/>
        </w:rPr>
      </w:pPr>
      <w:r>
        <w:rPr>
          <w:rFonts w:hint="eastAsia"/>
          <w:b/>
          <w:sz w:val="28"/>
          <w:szCs w:val="28"/>
        </w:rPr>
        <w:t>未设置绩效目标，须进一步明确。</w:t>
      </w:r>
    </w:p>
    <w:p>
      <w:pPr>
        <w:adjustRightInd w:val="0"/>
        <w:snapToGrid w:val="0"/>
        <w:spacing w:line="360" w:lineRule="auto"/>
        <w:ind w:firstLine="560" w:firstLineChars="200"/>
        <w:outlineLvl w:val="2"/>
        <w:rPr>
          <w:bCs/>
          <w:sz w:val="28"/>
          <w:szCs w:val="28"/>
        </w:rPr>
      </w:pPr>
      <w:bookmarkStart w:id="46" w:name="_Toc46675007"/>
      <w:r>
        <w:rPr>
          <w:rFonts w:hint="eastAsia"/>
          <w:bCs/>
          <w:sz w:val="28"/>
          <w:szCs w:val="28"/>
        </w:rPr>
        <w:t>3．资金投入</w:t>
      </w:r>
      <w:bookmarkEnd w:id="46"/>
    </w:p>
    <w:p>
      <w:pPr>
        <w:adjustRightInd w:val="0"/>
        <w:snapToGrid w:val="0"/>
        <w:spacing w:line="360" w:lineRule="auto"/>
        <w:ind w:firstLine="560" w:firstLineChars="200"/>
        <w:rPr>
          <w:sz w:val="28"/>
          <w:szCs w:val="28"/>
        </w:rPr>
      </w:pPr>
      <w:r>
        <w:rPr>
          <w:rFonts w:hint="eastAsia"/>
          <w:sz w:val="28"/>
          <w:szCs w:val="28"/>
        </w:rPr>
        <w:t>该项目预算编制经过市场询价、部门论证，预算内容和实际内容基本匹配，依据基本充分。</w:t>
      </w:r>
    </w:p>
    <w:p>
      <w:pPr>
        <w:adjustRightInd w:val="0"/>
        <w:snapToGrid w:val="0"/>
        <w:spacing w:line="360" w:lineRule="auto"/>
        <w:ind w:firstLine="562" w:firstLineChars="200"/>
        <w:rPr>
          <w:b/>
          <w:sz w:val="28"/>
          <w:szCs w:val="28"/>
        </w:rPr>
      </w:pPr>
      <w:r>
        <w:rPr>
          <w:rFonts w:hint="eastAsia"/>
          <w:b/>
          <w:sz w:val="28"/>
          <w:szCs w:val="28"/>
        </w:rPr>
        <w:t>预算编制规范，资金分配基本合理。</w:t>
      </w:r>
    </w:p>
    <w:p>
      <w:pPr>
        <w:adjustRightInd w:val="0"/>
        <w:snapToGrid w:val="0"/>
        <w:spacing w:line="360" w:lineRule="auto"/>
        <w:ind w:firstLine="562" w:firstLineChars="200"/>
        <w:outlineLvl w:val="1"/>
        <w:rPr>
          <w:b/>
          <w:bCs/>
          <w:sz w:val="28"/>
          <w:szCs w:val="28"/>
        </w:rPr>
      </w:pPr>
      <w:bookmarkStart w:id="47" w:name="_Toc46675008"/>
      <w:r>
        <w:rPr>
          <w:rFonts w:hint="eastAsia"/>
          <w:b/>
          <w:bCs/>
          <w:sz w:val="28"/>
          <w:szCs w:val="28"/>
        </w:rPr>
        <w:t>（二）项目过程情况</w:t>
      </w:r>
      <w:bookmarkEnd w:id="47"/>
    </w:p>
    <w:p>
      <w:pPr>
        <w:adjustRightInd w:val="0"/>
        <w:snapToGrid w:val="0"/>
        <w:spacing w:line="360" w:lineRule="auto"/>
        <w:ind w:firstLine="560" w:firstLineChars="200"/>
        <w:outlineLvl w:val="2"/>
        <w:rPr>
          <w:bCs/>
          <w:sz w:val="28"/>
          <w:szCs w:val="28"/>
        </w:rPr>
      </w:pPr>
      <w:bookmarkStart w:id="48" w:name="_Toc46675009"/>
      <w:r>
        <w:rPr>
          <w:rFonts w:hint="eastAsia"/>
          <w:bCs/>
          <w:sz w:val="28"/>
          <w:szCs w:val="28"/>
        </w:rPr>
        <w:t>1．资金管理</w:t>
      </w:r>
      <w:bookmarkEnd w:id="48"/>
    </w:p>
    <w:p>
      <w:pPr>
        <w:adjustRightInd w:val="0"/>
        <w:snapToGrid w:val="0"/>
        <w:spacing w:line="360" w:lineRule="auto"/>
        <w:ind w:firstLine="560" w:firstLineChars="200"/>
        <w:rPr>
          <w:sz w:val="28"/>
          <w:szCs w:val="28"/>
        </w:rPr>
      </w:pPr>
      <w:r>
        <w:rPr>
          <w:rFonts w:hint="eastAsia"/>
          <w:sz w:val="28"/>
          <w:szCs w:val="28"/>
        </w:rPr>
        <w:t>通过查证财务凭证,实际支出88.04万元，其中用于发展规划咨询服务费</w:t>
      </w:r>
      <w:r>
        <w:rPr>
          <w:sz w:val="28"/>
          <w:szCs w:val="28"/>
        </w:rPr>
        <w:t>78</w:t>
      </w:r>
      <w:r>
        <w:rPr>
          <w:rFonts w:hint="eastAsia"/>
          <w:sz w:val="28"/>
          <w:szCs w:val="28"/>
        </w:rPr>
        <w:t>.</w:t>
      </w:r>
      <w:r>
        <w:rPr>
          <w:sz w:val="28"/>
          <w:szCs w:val="28"/>
        </w:rPr>
        <w:t>85</w:t>
      </w:r>
      <w:r>
        <w:rPr>
          <w:rFonts w:hint="eastAsia"/>
          <w:sz w:val="28"/>
          <w:szCs w:val="28"/>
        </w:rPr>
        <w:t>万元，相关规划业务7.63</w:t>
      </w:r>
      <w:r>
        <w:rPr>
          <w:sz w:val="28"/>
          <w:szCs w:val="28"/>
        </w:rPr>
        <w:t>万元</w:t>
      </w:r>
      <w:r>
        <w:rPr>
          <w:rFonts w:hint="eastAsia"/>
          <w:sz w:val="28"/>
          <w:szCs w:val="28"/>
        </w:rPr>
        <w:t>，预算外支出1.56万元。资金的拨付有完整的审批程序和手续，支出内容存在项目预算批复外的内容。</w:t>
      </w:r>
    </w:p>
    <w:p>
      <w:pPr>
        <w:adjustRightInd w:val="0"/>
        <w:snapToGrid w:val="0"/>
        <w:spacing w:line="360" w:lineRule="auto"/>
        <w:ind w:firstLine="562" w:firstLineChars="200"/>
        <w:rPr>
          <w:sz w:val="28"/>
          <w:szCs w:val="28"/>
        </w:rPr>
      </w:pPr>
      <w:r>
        <w:rPr>
          <w:rFonts w:hint="eastAsia"/>
          <w:b/>
          <w:sz w:val="28"/>
          <w:szCs w:val="28"/>
        </w:rPr>
        <w:t>资金到位率100.00%，预算执行率10</w:t>
      </w:r>
      <w:r>
        <w:rPr>
          <w:b/>
          <w:sz w:val="28"/>
          <w:szCs w:val="28"/>
        </w:rPr>
        <w:t>0</w:t>
      </w:r>
      <w:r>
        <w:rPr>
          <w:rFonts w:hint="eastAsia"/>
          <w:b/>
          <w:sz w:val="28"/>
          <w:szCs w:val="28"/>
        </w:rPr>
        <w:t>.00%。</w:t>
      </w:r>
    </w:p>
    <w:p>
      <w:pPr>
        <w:adjustRightInd w:val="0"/>
        <w:snapToGrid w:val="0"/>
        <w:spacing w:line="360" w:lineRule="auto"/>
        <w:ind w:firstLine="560" w:firstLineChars="200"/>
        <w:outlineLvl w:val="2"/>
        <w:rPr>
          <w:bCs/>
          <w:sz w:val="28"/>
          <w:szCs w:val="28"/>
        </w:rPr>
      </w:pPr>
      <w:bookmarkStart w:id="49" w:name="_Toc46675010"/>
      <w:r>
        <w:rPr>
          <w:rFonts w:hint="eastAsia"/>
          <w:bCs/>
          <w:sz w:val="28"/>
          <w:szCs w:val="28"/>
        </w:rPr>
        <w:t>2．组织实施</w:t>
      </w:r>
      <w:bookmarkEnd w:id="49"/>
    </w:p>
    <w:p>
      <w:pPr>
        <w:adjustRightInd w:val="0"/>
        <w:snapToGrid w:val="0"/>
        <w:spacing w:line="360" w:lineRule="auto"/>
        <w:ind w:firstLine="560" w:firstLineChars="200"/>
        <w:rPr>
          <w:sz w:val="28"/>
          <w:szCs w:val="28"/>
        </w:rPr>
      </w:pPr>
      <w:r>
        <w:rPr>
          <w:rFonts w:hint="eastAsia"/>
          <w:sz w:val="28"/>
          <w:szCs w:val="28"/>
        </w:rPr>
        <w:t>该项目由区发改委作为业主组织实施。实施过程遵循国家有关法律法规，为进一步加强行政事业单位财务管理，健全财务制度，杜绝违纪违法行为，区发改委制定《财务、采购及资产管理制度》。查证该项目档案，资料较为零散，未及时归档。</w:t>
      </w:r>
    </w:p>
    <w:p>
      <w:pPr>
        <w:adjustRightInd w:val="0"/>
        <w:snapToGrid w:val="0"/>
        <w:spacing w:line="360" w:lineRule="auto"/>
        <w:ind w:firstLine="562" w:firstLineChars="200"/>
        <w:rPr>
          <w:b/>
          <w:sz w:val="28"/>
          <w:szCs w:val="28"/>
        </w:rPr>
      </w:pPr>
      <w:r>
        <w:rPr>
          <w:rFonts w:hint="eastAsia"/>
          <w:b/>
          <w:sz w:val="28"/>
          <w:szCs w:val="28"/>
        </w:rPr>
        <w:t>管理制度须进一步完善，进一步加强制度执行。</w:t>
      </w:r>
    </w:p>
    <w:p>
      <w:pPr>
        <w:adjustRightInd w:val="0"/>
        <w:snapToGrid w:val="0"/>
        <w:spacing w:line="360" w:lineRule="auto"/>
        <w:ind w:firstLine="562" w:firstLineChars="200"/>
        <w:outlineLvl w:val="1"/>
        <w:rPr>
          <w:b/>
          <w:bCs/>
          <w:sz w:val="28"/>
          <w:szCs w:val="28"/>
        </w:rPr>
      </w:pPr>
      <w:bookmarkStart w:id="50" w:name="_Toc46675011"/>
      <w:r>
        <w:rPr>
          <w:rFonts w:hint="eastAsia"/>
          <w:b/>
          <w:bCs/>
          <w:sz w:val="28"/>
          <w:szCs w:val="28"/>
        </w:rPr>
        <w:t>（三）项目产出情况</w:t>
      </w:r>
      <w:bookmarkEnd w:id="50"/>
    </w:p>
    <w:p>
      <w:pPr>
        <w:adjustRightInd w:val="0"/>
        <w:snapToGrid w:val="0"/>
        <w:spacing w:line="360" w:lineRule="auto"/>
        <w:ind w:firstLine="560" w:firstLineChars="200"/>
        <w:rPr>
          <w:bCs/>
          <w:sz w:val="28"/>
          <w:szCs w:val="28"/>
        </w:rPr>
      </w:pPr>
      <w:r>
        <w:rPr>
          <w:rFonts w:hint="eastAsia"/>
          <w:sz w:val="28"/>
          <w:szCs w:val="28"/>
        </w:rPr>
        <w:t>经查证，区发改委全年委托编制报告共9个，完成了本年的年度计划任务。通过抽查两个报告，及问询相关工作人员，未出现质量问题。</w:t>
      </w:r>
    </w:p>
    <w:p>
      <w:pPr>
        <w:adjustRightInd w:val="0"/>
        <w:snapToGrid w:val="0"/>
        <w:spacing w:line="360" w:lineRule="auto"/>
        <w:ind w:firstLine="562" w:firstLineChars="200"/>
        <w:rPr>
          <w:b/>
          <w:bCs/>
          <w:sz w:val="28"/>
          <w:szCs w:val="28"/>
        </w:rPr>
      </w:pPr>
      <w:r>
        <w:rPr>
          <w:rFonts w:hint="eastAsia"/>
          <w:b/>
          <w:bCs/>
          <w:sz w:val="28"/>
          <w:szCs w:val="28"/>
        </w:rPr>
        <w:t>项目完成率</w:t>
      </w:r>
      <w:r>
        <w:rPr>
          <w:b/>
          <w:bCs/>
          <w:sz w:val="28"/>
          <w:szCs w:val="28"/>
        </w:rPr>
        <w:t>100.00</w:t>
      </w:r>
      <w:r>
        <w:rPr>
          <w:rFonts w:hint="eastAsia"/>
          <w:b/>
          <w:bCs/>
          <w:sz w:val="28"/>
          <w:szCs w:val="28"/>
        </w:rPr>
        <w:t>%，质量达标率100.</w:t>
      </w:r>
      <w:r>
        <w:rPr>
          <w:b/>
          <w:bCs/>
          <w:sz w:val="28"/>
          <w:szCs w:val="28"/>
        </w:rPr>
        <w:t>00</w:t>
      </w:r>
      <w:r>
        <w:rPr>
          <w:rFonts w:hint="eastAsia"/>
          <w:b/>
          <w:bCs/>
          <w:sz w:val="28"/>
          <w:szCs w:val="28"/>
        </w:rPr>
        <w:t>%。</w:t>
      </w:r>
    </w:p>
    <w:p>
      <w:pPr>
        <w:adjustRightInd w:val="0"/>
        <w:snapToGrid w:val="0"/>
        <w:spacing w:line="360" w:lineRule="auto"/>
        <w:ind w:firstLine="562" w:firstLineChars="200"/>
        <w:outlineLvl w:val="1"/>
        <w:rPr>
          <w:b/>
          <w:bCs/>
          <w:sz w:val="28"/>
          <w:szCs w:val="28"/>
        </w:rPr>
      </w:pPr>
      <w:bookmarkStart w:id="51" w:name="_Toc46675012"/>
      <w:r>
        <w:rPr>
          <w:rFonts w:hint="eastAsia"/>
          <w:b/>
          <w:bCs/>
          <w:sz w:val="28"/>
          <w:szCs w:val="28"/>
        </w:rPr>
        <w:t>（四）项目效益情况</w:t>
      </w:r>
      <w:bookmarkEnd w:id="51"/>
    </w:p>
    <w:p>
      <w:pPr>
        <w:adjustRightInd w:val="0"/>
        <w:snapToGrid w:val="0"/>
        <w:spacing w:line="360" w:lineRule="auto"/>
        <w:ind w:firstLine="560" w:firstLineChars="200"/>
        <w:outlineLvl w:val="2"/>
        <w:rPr>
          <w:bCs/>
          <w:sz w:val="28"/>
          <w:szCs w:val="28"/>
        </w:rPr>
      </w:pPr>
      <w:bookmarkStart w:id="52" w:name="_Toc46675013"/>
      <w:r>
        <w:rPr>
          <w:rFonts w:hint="eastAsia"/>
          <w:bCs/>
          <w:sz w:val="28"/>
          <w:szCs w:val="28"/>
        </w:rPr>
        <w:t>1．项目效益</w:t>
      </w:r>
      <w:bookmarkEnd w:id="52"/>
    </w:p>
    <w:p>
      <w:pPr>
        <w:widowControl/>
        <w:adjustRightInd w:val="0"/>
        <w:snapToGrid w:val="0"/>
        <w:spacing w:line="360" w:lineRule="auto"/>
        <w:ind w:firstLine="560" w:firstLineChars="200"/>
        <w:rPr>
          <w:rFonts w:ascii="宋体" w:hAnsi="宋体" w:cs="宋体"/>
          <w:color w:val="000000"/>
          <w:kern w:val="0"/>
          <w:sz w:val="20"/>
          <w:szCs w:val="20"/>
        </w:rPr>
      </w:pPr>
      <w:r>
        <w:rPr>
          <w:rFonts w:hint="eastAsia"/>
          <w:sz w:val="28"/>
          <w:szCs w:val="28"/>
        </w:rPr>
        <w:t>2019年，该项目的实施</w:t>
      </w:r>
      <w:r>
        <w:rPr>
          <w:rFonts w:hint="eastAsia"/>
          <w:color w:val="000000"/>
          <w:sz w:val="28"/>
          <w:szCs w:val="28"/>
          <w:shd w:val="clear" w:color="auto" w:fill="FFFFFF"/>
        </w:rPr>
        <w:t>为区委区政府决策提供建议；深化改革，优化发展环境；充分发挥经济体制和社会体制改革方面的谋划、协调、联络、督促等职能职责。推动了北碚区地方经济发展和社会进步。</w:t>
      </w:r>
    </w:p>
    <w:p>
      <w:pPr>
        <w:adjustRightInd w:val="0"/>
        <w:snapToGrid w:val="0"/>
        <w:spacing w:line="360" w:lineRule="auto"/>
        <w:ind w:firstLine="562" w:firstLineChars="200"/>
        <w:rPr>
          <w:b/>
          <w:sz w:val="28"/>
          <w:szCs w:val="28"/>
        </w:rPr>
      </w:pPr>
      <w:r>
        <w:rPr>
          <w:rFonts w:hint="eastAsia"/>
          <w:b/>
          <w:sz w:val="28"/>
          <w:szCs w:val="28"/>
        </w:rPr>
        <w:t>项目效益发挥较好，社会效益显著。</w:t>
      </w:r>
    </w:p>
    <w:p>
      <w:pPr>
        <w:adjustRightInd w:val="0"/>
        <w:snapToGrid w:val="0"/>
        <w:spacing w:line="360" w:lineRule="auto"/>
        <w:ind w:firstLine="560" w:firstLineChars="200"/>
        <w:outlineLvl w:val="2"/>
        <w:rPr>
          <w:bCs/>
          <w:sz w:val="28"/>
          <w:szCs w:val="28"/>
        </w:rPr>
      </w:pPr>
      <w:bookmarkStart w:id="53" w:name="_Toc46675014"/>
      <w:r>
        <w:rPr>
          <w:rFonts w:hint="eastAsia"/>
          <w:bCs/>
          <w:sz w:val="28"/>
          <w:szCs w:val="28"/>
        </w:rPr>
        <w:t>2．社会满意度</w:t>
      </w:r>
      <w:bookmarkEnd w:id="53"/>
    </w:p>
    <w:p>
      <w:pPr>
        <w:adjustRightInd w:val="0"/>
        <w:snapToGrid w:val="0"/>
        <w:spacing w:line="360" w:lineRule="auto"/>
        <w:ind w:firstLine="560" w:firstLineChars="200"/>
        <w:rPr>
          <w:sz w:val="28"/>
          <w:szCs w:val="28"/>
        </w:rPr>
      </w:pPr>
      <w:r>
        <w:rPr>
          <w:rFonts w:hint="eastAsia"/>
          <w:sz w:val="28"/>
          <w:szCs w:val="28"/>
        </w:rPr>
        <w:t>（1）对发展规划业务项目政策的满意度</w:t>
      </w:r>
    </w:p>
    <w:p>
      <w:pPr>
        <w:adjustRightInd w:val="0"/>
        <w:snapToGrid w:val="0"/>
        <w:spacing w:line="360" w:lineRule="auto"/>
        <w:ind w:firstLine="560" w:firstLineChars="200"/>
        <w:rPr>
          <w:sz w:val="28"/>
          <w:szCs w:val="28"/>
        </w:rPr>
      </w:pPr>
      <w:r>
        <w:rPr>
          <w:rFonts w:hint="eastAsia"/>
          <w:sz w:val="28"/>
          <w:szCs w:val="28"/>
        </w:rPr>
        <w:t>调查发现，90%的调查者对于发展规划业务项目的政策持认可态度。其中，</w:t>
      </w:r>
      <w:r>
        <w:rPr>
          <w:sz w:val="28"/>
          <w:szCs w:val="28"/>
        </w:rPr>
        <w:t>7</w:t>
      </w:r>
      <w:r>
        <w:rPr>
          <w:rFonts w:hint="eastAsia"/>
          <w:sz w:val="28"/>
          <w:szCs w:val="28"/>
        </w:rPr>
        <w:t>0%的人对项目是非常满意的，有20%的人是比较满意的，有1</w:t>
      </w:r>
      <w:r>
        <w:rPr>
          <w:sz w:val="28"/>
          <w:szCs w:val="28"/>
        </w:rPr>
        <w:t>0</w:t>
      </w:r>
      <w:r>
        <w:rPr>
          <w:rFonts w:hint="eastAsia"/>
          <w:sz w:val="28"/>
          <w:szCs w:val="28"/>
        </w:rPr>
        <w:t>%的人是不满意的。见下表：</w:t>
      </w:r>
    </w:p>
    <w:tbl>
      <w:tblPr>
        <w:tblStyle w:val="14"/>
        <w:tblW w:w="864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89"/>
        <w:gridCol w:w="1290"/>
        <w:gridCol w:w="1289"/>
        <w:gridCol w:w="129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调查内容</w:t>
            </w:r>
          </w:p>
        </w:tc>
        <w:tc>
          <w:tcPr>
            <w:tcW w:w="1289" w:type="dxa"/>
            <w:vAlign w:val="center"/>
          </w:tcPr>
          <w:p>
            <w:pPr>
              <w:snapToGrid w:val="0"/>
              <w:spacing w:line="360" w:lineRule="auto"/>
              <w:jc w:val="center"/>
              <w:rPr>
                <w:sz w:val="21"/>
                <w:szCs w:val="21"/>
              </w:rPr>
            </w:pPr>
            <w:r>
              <w:rPr>
                <w:rFonts w:hint="eastAsia"/>
                <w:sz w:val="21"/>
                <w:szCs w:val="21"/>
              </w:rPr>
              <w:t>非常满意</w:t>
            </w:r>
          </w:p>
        </w:tc>
        <w:tc>
          <w:tcPr>
            <w:tcW w:w="1290" w:type="dxa"/>
            <w:vAlign w:val="center"/>
          </w:tcPr>
          <w:p>
            <w:pPr>
              <w:snapToGrid w:val="0"/>
              <w:spacing w:line="360" w:lineRule="auto"/>
              <w:jc w:val="center"/>
              <w:rPr>
                <w:sz w:val="21"/>
                <w:szCs w:val="21"/>
              </w:rPr>
            </w:pPr>
            <w:r>
              <w:rPr>
                <w:rFonts w:hint="eastAsia"/>
                <w:sz w:val="21"/>
                <w:szCs w:val="21"/>
              </w:rPr>
              <w:t>满意</w:t>
            </w:r>
          </w:p>
        </w:tc>
        <w:tc>
          <w:tcPr>
            <w:tcW w:w="1289" w:type="dxa"/>
            <w:vAlign w:val="center"/>
          </w:tcPr>
          <w:p>
            <w:pPr>
              <w:snapToGrid w:val="0"/>
              <w:spacing w:line="360" w:lineRule="auto"/>
              <w:jc w:val="center"/>
              <w:rPr>
                <w:sz w:val="21"/>
                <w:szCs w:val="21"/>
              </w:rPr>
            </w:pPr>
            <w:r>
              <w:rPr>
                <w:rFonts w:hint="eastAsia"/>
                <w:sz w:val="21"/>
                <w:szCs w:val="21"/>
              </w:rPr>
              <w:t>一般</w:t>
            </w:r>
          </w:p>
        </w:tc>
        <w:tc>
          <w:tcPr>
            <w:tcW w:w="1290" w:type="dxa"/>
            <w:vAlign w:val="center"/>
          </w:tcPr>
          <w:p>
            <w:pPr>
              <w:snapToGrid w:val="0"/>
              <w:spacing w:line="360" w:lineRule="auto"/>
              <w:jc w:val="center"/>
              <w:rPr>
                <w:sz w:val="21"/>
                <w:szCs w:val="21"/>
              </w:rPr>
            </w:pPr>
            <w:r>
              <w:rPr>
                <w:rFonts w:hint="eastAsia"/>
                <w:sz w:val="21"/>
                <w:szCs w:val="21"/>
              </w:rPr>
              <w:t>不满意</w:t>
            </w:r>
          </w:p>
        </w:tc>
        <w:tc>
          <w:tcPr>
            <w:tcW w:w="1289" w:type="dxa"/>
            <w:vAlign w:val="center"/>
          </w:tcPr>
          <w:p>
            <w:pPr>
              <w:snapToGrid w:val="0"/>
              <w:spacing w:line="360" w:lineRule="auto"/>
              <w:jc w:val="center"/>
              <w:rPr>
                <w:sz w:val="21"/>
                <w:szCs w:val="21"/>
              </w:rPr>
            </w:pPr>
            <w:r>
              <w:rPr>
                <w:rFonts w:hint="eastAsia"/>
                <w:sz w:val="21"/>
                <w:szCs w:val="21"/>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对发展规划业务项目政策满意度</w:t>
            </w:r>
          </w:p>
        </w:tc>
        <w:tc>
          <w:tcPr>
            <w:tcW w:w="1289" w:type="dxa"/>
            <w:vAlign w:val="center"/>
          </w:tcPr>
          <w:p>
            <w:pPr>
              <w:snapToGrid w:val="0"/>
              <w:spacing w:line="360" w:lineRule="auto"/>
              <w:jc w:val="center"/>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0.00%</w:t>
            </w:r>
          </w:p>
        </w:tc>
        <w:tc>
          <w:tcPr>
            <w:tcW w:w="1290" w:type="dxa"/>
            <w:vAlign w:val="center"/>
          </w:tcPr>
          <w:p>
            <w:pPr>
              <w:snapToGrid w:val="0"/>
              <w:spacing w:line="360" w:lineRule="auto"/>
              <w:jc w:val="center"/>
              <w:rPr>
                <w:rFonts w:ascii="仿宋" w:hAnsi="仿宋" w:eastAsia="仿宋"/>
                <w:sz w:val="21"/>
                <w:szCs w:val="21"/>
              </w:rPr>
            </w:pPr>
            <w:r>
              <w:rPr>
                <w:rFonts w:hint="eastAsia" w:ascii="仿宋" w:hAnsi="仿宋" w:eastAsia="仿宋"/>
                <w:sz w:val="21"/>
                <w:szCs w:val="21"/>
              </w:rPr>
              <w:t>20.00%</w:t>
            </w:r>
          </w:p>
        </w:tc>
        <w:tc>
          <w:tcPr>
            <w:tcW w:w="1289" w:type="dxa"/>
            <w:vAlign w:val="center"/>
          </w:tcPr>
          <w:p>
            <w:pPr>
              <w:snapToGrid w:val="0"/>
              <w:spacing w:line="360" w:lineRule="auto"/>
              <w:jc w:val="center"/>
              <w:rPr>
                <w:rFonts w:ascii="仿宋" w:hAnsi="仿宋" w:eastAsia="仿宋"/>
                <w:sz w:val="21"/>
                <w:szCs w:val="21"/>
              </w:rPr>
            </w:pPr>
            <w:r>
              <w:rPr>
                <w:rFonts w:hint="eastAsia" w:ascii="仿宋" w:hAnsi="仿宋" w:eastAsia="仿宋"/>
                <w:sz w:val="21"/>
                <w:szCs w:val="21"/>
              </w:rPr>
              <w:t>0.00%</w:t>
            </w:r>
          </w:p>
        </w:tc>
        <w:tc>
          <w:tcPr>
            <w:tcW w:w="1290" w:type="dxa"/>
            <w:vAlign w:val="center"/>
          </w:tcPr>
          <w:p>
            <w:pPr>
              <w:snapToGrid w:val="0"/>
              <w:spacing w:line="360" w:lineRule="auto"/>
              <w:jc w:val="center"/>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.00%</w:t>
            </w:r>
          </w:p>
        </w:tc>
        <w:tc>
          <w:tcPr>
            <w:tcW w:w="1289" w:type="dxa"/>
            <w:vAlign w:val="center"/>
          </w:tcPr>
          <w:p>
            <w:pPr>
              <w:snapToGrid w:val="0"/>
              <w:spacing w:line="360" w:lineRule="auto"/>
              <w:jc w:val="center"/>
              <w:rPr>
                <w:rFonts w:ascii="仿宋" w:hAnsi="仿宋" w:eastAsia="仿宋"/>
                <w:sz w:val="21"/>
                <w:szCs w:val="21"/>
              </w:rPr>
            </w:pPr>
            <w:r>
              <w:rPr>
                <w:rFonts w:hint="eastAsia" w:ascii="仿宋" w:hAnsi="仿宋" w:eastAsia="仿宋"/>
                <w:sz w:val="21"/>
                <w:szCs w:val="21"/>
              </w:rPr>
              <w:t>0.00%</w:t>
            </w:r>
          </w:p>
        </w:tc>
      </w:tr>
    </w:tbl>
    <w:p>
      <w:pPr>
        <w:snapToGrid w:val="0"/>
        <w:spacing w:before="156" w:beforeLines="50" w:line="360" w:lineRule="auto"/>
        <w:ind w:firstLine="560" w:firstLineChars="200"/>
        <w:rPr>
          <w:sz w:val="28"/>
          <w:szCs w:val="28"/>
        </w:rPr>
      </w:pPr>
      <w:bookmarkStart w:id="54" w:name="_Toc5215"/>
      <w:r>
        <w:rPr>
          <w:rFonts w:hint="eastAsia"/>
          <w:sz w:val="28"/>
          <w:szCs w:val="28"/>
        </w:rPr>
        <w:t>（2）对发展规划业务项目实施效果的满意度</w:t>
      </w:r>
      <w:bookmarkEnd w:id="54"/>
    </w:p>
    <w:p>
      <w:pPr>
        <w:adjustRightInd w:val="0"/>
        <w:snapToGrid w:val="0"/>
        <w:spacing w:line="360" w:lineRule="auto"/>
        <w:ind w:firstLine="560" w:firstLineChars="200"/>
        <w:rPr>
          <w:b/>
          <w:sz w:val="28"/>
          <w:szCs w:val="28"/>
        </w:rPr>
      </w:pPr>
      <w:r>
        <w:rPr>
          <w:rFonts w:hint="eastAsia"/>
          <w:sz w:val="28"/>
          <w:szCs w:val="28"/>
        </w:rPr>
        <w:t>调查发现，80%的调查者对于发展规划业务项目的实施效果持认可态度。其中，</w:t>
      </w:r>
      <w:r>
        <w:rPr>
          <w:sz w:val="28"/>
          <w:szCs w:val="28"/>
        </w:rPr>
        <w:t>2</w:t>
      </w:r>
      <w:r>
        <w:rPr>
          <w:rFonts w:hint="eastAsia"/>
          <w:sz w:val="28"/>
          <w:szCs w:val="28"/>
        </w:rPr>
        <w:t>0%的人对项目是非常满意的，有40%的人是比较满意的，有</w:t>
      </w:r>
      <w:r>
        <w:rPr>
          <w:sz w:val="28"/>
          <w:szCs w:val="28"/>
        </w:rPr>
        <w:t>2</w:t>
      </w:r>
      <w:r>
        <w:rPr>
          <w:rFonts w:hint="eastAsia"/>
          <w:sz w:val="28"/>
          <w:szCs w:val="28"/>
        </w:rPr>
        <w:t>0%的人是一般满意的，有20%的人是不满意的。见下表：</w:t>
      </w:r>
    </w:p>
    <w:tbl>
      <w:tblPr>
        <w:tblStyle w:val="14"/>
        <w:tblW w:w="864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89"/>
        <w:gridCol w:w="1290"/>
        <w:gridCol w:w="1289"/>
        <w:gridCol w:w="129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调查内容</w:t>
            </w:r>
          </w:p>
        </w:tc>
        <w:tc>
          <w:tcPr>
            <w:tcW w:w="1289" w:type="dxa"/>
            <w:vAlign w:val="center"/>
          </w:tcPr>
          <w:p>
            <w:pPr>
              <w:snapToGrid w:val="0"/>
              <w:spacing w:line="360" w:lineRule="auto"/>
              <w:jc w:val="center"/>
              <w:rPr>
                <w:sz w:val="21"/>
                <w:szCs w:val="21"/>
              </w:rPr>
            </w:pPr>
            <w:r>
              <w:rPr>
                <w:rFonts w:hint="eastAsia"/>
                <w:sz w:val="21"/>
                <w:szCs w:val="21"/>
              </w:rPr>
              <w:t>非常满意</w:t>
            </w:r>
          </w:p>
        </w:tc>
        <w:tc>
          <w:tcPr>
            <w:tcW w:w="1290" w:type="dxa"/>
            <w:vAlign w:val="center"/>
          </w:tcPr>
          <w:p>
            <w:pPr>
              <w:snapToGrid w:val="0"/>
              <w:spacing w:line="360" w:lineRule="auto"/>
              <w:jc w:val="center"/>
              <w:rPr>
                <w:sz w:val="21"/>
                <w:szCs w:val="21"/>
              </w:rPr>
            </w:pPr>
            <w:r>
              <w:rPr>
                <w:rFonts w:hint="eastAsia"/>
                <w:sz w:val="21"/>
                <w:szCs w:val="21"/>
              </w:rPr>
              <w:t>满意</w:t>
            </w:r>
          </w:p>
        </w:tc>
        <w:tc>
          <w:tcPr>
            <w:tcW w:w="1289" w:type="dxa"/>
            <w:vAlign w:val="center"/>
          </w:tcPr>
          <w:p>
            <w:pPr>
              <w:snapToGrid w:val="0"/>
              <w:spacing w:line="360" w:lineRule="auto"/>
              <w:jc w:val="center"/>
              <w:rPr>
                <w:sz w:val="21"/>
                <w:szCs w:val="21"/>
              </w:rPr>
            </w:pPr>
            <w:r>
              <w:rPr>
                <w:rFonts w:hint="eastAsia"/>
                <w:sz w:val="21"/>
                <w:szCs w:val="21"/>
              </w:rPr>
              <w:t>一般</w:t>
            </w:r>
          </w:p>
        </w:tc>
        <w:tc>
          <w:tcPr>
            <w:tcW w:w="1290" w:type="dxa"/>
            <w:vAlign w:val="center"/>
          </w:tcPr>
          <w:p>
            <w:pPr>
              <w:snapToGrid w:val="0"/>
              <w:spacing w:line="360" w:lineRule="auto"/>
              <w:jc w:val="center"/>
              <w:rPr>
                <w:sz w:val="21"/>
                <w:szCs w:val="21"/>
              </w:rPr>
            </w:pPr>
            <w:r>
              <w:rPr>
                <w:rFonts w:hint="eastAsia"/>
                <w:sz w:val="21"/>
                <w:szCs w:val="21"/>
              </w:rPr>
              <w:t>不满意</w:t>
            </w:r>
          </w:p>
        </w:tc>
        <w:tc>
          <w:tcPr>
            <w:tcW w:w="1289" w:type="dxa"/>
            <w:vAlign w:val="center"/>
          </w:tcPr>
          <w:p>
            <w:pPr>
              <w:snapToGrid w:val="0"/>
              <w:spacing w:line="360" w:lineRule="auto"/>
              <w:jc w:val="center"/>
              <w:rPr>
                <w:sz w:val="21"/>
                <w:szCs w:val="21"/>
              </w:rPr>
            </w:pPr>
            <w:r>
              <w:rPr>
                <w:rFonts w:hint="eastAsia"/>
                <w:sz w:val="21"/>
                <w:szCs w:val="21"/>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对发展规划业务项目实施效果满意度</w:t>
            </w:r>
          </w:p>
        </w:tc>
        <w:tc>
          <w:tcPr>
            <w:tcW w:w="1289" w:type="dxa"/>
            <w:vAlign w:val="center"/>
          </w:tcPr>
          <w:p>
            <w:pPr>
              <w:snapToGrid w:val="0"/>
              <w:spacing w:line="360" w:lineRule="auto"/>
              <w:jc w:val="center"/>
              <w:rPr>
                <w:sz w:val="21"/>
                <w:szCs w:val="21"/>
              </w:rPr>
            </w:pPr>
            <w:r>
              <w:rPr>
                <w:sz w:val="21"/>
                <w:szCs w:val="21"/>
              </w:rPr>
              <w:t>2</w:t>
            </w:r>
            <w:r>
              <w:rPr>
                <w:rFonts w:hint="eastAsia"/>
                <w:sz w:val="21"/>
                <w:szCs w:val="21"/>
              </w:rPr>
              <w:t>0.00%</w:t>
            </w:r>
          </w:p>
        </w:tc>
        <w:tc>
          <w:tcPr>
            <w:tcW w:w="1290" w:type="dxa"/>
            <w:vAlign w:val="center"/>
          </w:tcPr>
          <w:p>
            <w:pPr>
              <w:snapToGrid w:val="0"/>
              <w:spacing w:line="360" w:lineRule="auto"/>
              <w:jc w:val="center"/>
              <w:rPr>
                <w:sz w:val="21"/>
                <w:szCs w:val="21"/>
              </w:rPr>
            </w:pPr>
            <w:r>
              <w:rPr>
                <w:rFonts w:hint="eastAsia"/>
                <w:sz w:val="21"/>
                <w:szCs w:val="21"/>
              </w:rPr>
              <w:t>40.00%</w:t>
            </w:r>
          </w:p>
        </w:tc>
        <w:tc>
          <w:tcPr>
            <w:tcW w:w="1289" w:type="dxa"/>
            <w:vAlign w:val="center"/>
          </w:tcPr>
          <w:p>
            <w:pPr>
              <w:snapToGrid w:val="0"/>
              <w:spacing w:line="360" w:lineRule="auto"/>
              <w:jc w:val="center"/>
              <w:rPr>
                <w:sz w:val="21"/>
                <w:szCs w:val="21"/>
              </w:rPr>
            </w:pPr>
            <w:r>
              <w:rPr>
                <w:sz w:val="21"/>
                <w:szCs w:val="21"/>
              </w:rPr>
              <w:t>2</w:t>
            </w:r>
            <w:r>
              <w:rPr>
                <w:rFonts w:hint="eastAsia"/>
                <w:sz w:val="21"/>
                <w:szCs w:val="21"/>
              </w:rPr>
              <w:t>0.00%</w:t>
            </w:r>
          </w:p>
        </w:tc>
        <w:tc>
          <w:tcPr>
            <w:tcW w:w="1290" w:type="dxa"/>
            <w:vAlign w:val="center"/>
          </w:tcPr>
          <w:p>
            <w:pPr>
              <w:snapToGrid w:val="0"/>
              <w:spacing w:line="360" w:lineRule="auto"/>
              <w:jc w:val="center"/>
              <w:rPr>
                <w:sz w:val="21"/>
                <w:szCs w:val="21"/>
              </w:rPr>
            </w:pPr>
            <w:r>
              <w:rPr>
                <w:rFonts w:hint="eastAsia"/>
                <w:sz w:val="21"/>
                <w:szCs w:val="21"/>
              </w:rPr>
              <w:t>20.00%</w:t>
            </w:r>
          </w:p>
        </w:tc>
        <w:tc>
          <w:tcPr>
            <w:tcW w:w="1289" w:type="dxa"/>
            <w:vAlign w:val="center"/>
          </w:tcPr>
          <w:p>
            <w:pPr>
              <w:snapToGrid w:val="0"/>
              <w:spacing w:line="360" w:lineRule="auto"/>
              <w:jc w:val="center"/>
              <w:rPr>
                <w:sz w:val="21"/>
                <w:szCs w:val="21"/>
              </w:rPr>
            </w:pPr>
            <w:r>
              <w:rPr>
                <w:rFonts w:hint="eastAsia"/>
                <w:sz w:val="21"/>
                <w:szCs w:val="21"/>
              </w:rPr>
              <w:t>0.00%</w:t>
            </w:r>
          </w:p>
        </w:tc>
      </w:tr>
    </w:tbl>
    <w:p>
      <w:pPr>
        <w:adjustRightInd w:val="0"/>
        <w:snapToGrid w:val="0"/>
        <w:spacing w:before="156" w:beforeLines="50" w:line="360" w:lineRule="auto"/>
        <w:ind w:firstLine="562" w:firstLineChars="200"/>
        <w:rPr>
          <w:b/>
          <w:bCs/>
          <w:sz w:val="28"/>
          <w:szCs w:val="28"/>
        </w:rPr>
      </w:pPr>
      <w:r>
        <w:rPr>
          <w:rFonts w:hint="eastAsia"/>
          <w:b/>
          <w:bCs/>
          <w:sz w:val="28"/>
          <w:szCs w:val="28"/>
        </w:rPr>
        <w:t>社会公众对项目实施效果的满意程度较高。</w:t>
      </w:r>
    </w:p>
    <w:p>
      <w:pPr>
        <w:adjustRightInd w:val="0"/>
        <w:snapToGrid w:val="0"/>
        <w:spacing w:line="360" w:lineRule="auto"/>
        <w:ind w:firstLine="562" w:firstLineChars="200"/>
        <w:rPr>
          <w:b/>
          <w:sz w:val="28"/>
          <w:szCs w:val="28"/>
        </w:rPr>
      </w:pPr>
    </w:p>
    <w:p>
      <w:pPr>
        <w:adjustRightInd w:val="0"/>
        <w:snapToGrid w:val="0"/>
        <w:spacing w:line="360" w:lineRule="auto"/>
        <w:ind w:firstLine="562" w:firstLineChars="200"/>
        <w:outlineLvl w:val="0"/>
        <w:rPr>
          <w:rFonts w:ascii="黑体" w:hAnsi="黑体" w:eastAsia="黑体"/>
          <w:b/>
          <w:bCs/>
          <w:sz w:val="28"/>
          <w:szCs w:val="28"/>
        </w:rPr>
      </w:pPr>
      <w:bookmarkStart w:id="55" w:name="_Toc30886"/>
      <w:bookmarkStart w:id="56" w:name="_Toc46675015"/>
      <w:r>
        <w:rPr>
          <w:rFonts w:hint="eastAsia" w:ascii="黑体" w:hAnsi="黑体" w:eastAsia="黑体"/>
          <w:b/>
          <w:bCs/>
          <w:sz w:val="28"/>
          <w:szCs w:val="28"/>
        </w:rPr>
        <w:t>五、存在的问题</w:t>
      </w:r>
      <w:bookmarkEnd w:id="55"/>
      <w:bookmarkEnd w:id="56"/>
    </w:p>
    <w:p>
      <w:pPr>
        <w:adjustRightInd w:val="0"/>
        <w:snapToGrid w:val="0"/>
        <w:spacing w:line="360" w:lineRule="auto"/>
        <w:ind w:firstLine="560" w:firstLineChars="200"/>
        <w:outlineLvl w:val="1"/>
        <w:rPr>
          <w:bCs/>
          <w:sz w:val="28"/>
          <w:szCs w:val="28"/>
        </w:rPr>
      </w:pPr>
      <w:bookmarkStart w:id="57" w:name="_Toc46675016"/>
      <w:r>
        <w:rPr>
          <w:rFonts w:hint="eastAsia"/>
          <w:bCs/>
          <w:sz w:val="28"/>
          <w:szCs w:val="28"/>
        </w:rPr>
        <w:t>（一）未设置绩效目标，且没有制定可衡量的指标值</w:t>
      </w:r>
      <w:bookmarkEnd w:id="57"/>
    </w:p>
    <w:p>
      <w:pPr>
        <w:adjustRightInd w:val="0"/>
        <w:snapToGrid w:val="0"/>
        <w:spacing w:line="360" w:lineRule="auto"/>
        <w:ind w:firstLine="560" w:firstLineChars="200"/>
        <w:rPr>
          <w:bCs/>
          <w:sz w:val="28"/>
          <w:szCs w:val="28"/>
        </w:rPr>
      </w:pPr>
      <w:r>
        <w:rPr>
          <w:rFonts w:hint="eastAsia"/>
          <w:bCs/>
          <w:sz w:val="28"/>
          <w:szCs w:val="28"/>
        </w:rPr>
        <w:t>通过查证区发改委未设置项目绩效目标，绩效指标未进行细化，且没有制定可衡量的指标值。以上内容违背《重庆市北碚区财政局关于印发&lt;重庆市北碚区区级项目支出预算管理办法&gt;的通知》（北碚财〔2019〕267号）第十条、第十一条对项目申报的要求：“二级项目要与对应的一级项目相匹配，有充分的立项依据、具体的支出内容、明确合理的绩效目标。”“</w:t>
      </w:r>
      <w:r>
        <w:rPr>
          <w:bCs/>
          <w:sz w:val="28"/>
          <w:szCs w:val="28"/>
        </w:rPr>
        <w:t>申报的项目应当同时具备</w:t>
      </w:r>
      <w:r>
        <w:rPr>
          <w:rFonts w:hint="eastAsia"/>
          <w:bCs/>
          <w:sz w:val="28"/>
          <w:szCs w:val="28"/>
        </w:rPr>
        <w:t>以下条件：绩效目标明确、组织实施计划和项目支出预算科学合理，并经过充分的研究论证，具有实施条件的项目。”</w:t>
      </w:r>
    </w:p>
    <w:p>
      <w:pPr>
        <w:adjustRightInd w:val="0"/>
        <w:snapToGrid w:val="0"/>
        <w:spacing w:line="360" w:lineRule="auto"/>
        <w:ind w:firstLine="560" w:firstLineChars="200"/>
        <w:outlineLvl w:val="1"/>
        <w:rPr>
          <w:bCs/>
          <w:sz w:val="28"/>
          <w:szCs w:val="28"/>
        </w:rPr>
      </w:pPr>
      <w:bookmarkStart w:id="58" w:name="_Toc46675017"/>
      <w:r>
        <w:rPr>
          <w:rFonts w:hint="eastAsia"/>
          <w:bCs/>
          <w:sz w:val="28"/>
          <w:szCs w:val="28"/>
        </w:rPr>
        <w:t>（二）存在预算外支出内容</w:t>
      </w:r>
      <w:bookmarkEnd w:id="58"/>
    </w:p>
    <w:p>
      <w:pPr>
        <w:tabs>
          <w:tab w:val="left" w:pos="1800"/>
        </w:tabs>
        <w:adjustRightInd w:val="0"/>
        <w:snapToGrid w:val="0"/>
        <w:spacing w:line="360" w:lineRule="auto"/>
        <w:ind w:firstLine="638" w:firstLineChars="228"/>
        <w:rPr>
          <w:bCs/>
          <w:sz w:val="28"/>
          <w:szCs w:val="28"/>
        </w:rPr>
      </w:pPr>
      <w:r>
        <w:rPr>
          <w:rFonts w:hint="eastAsia"/>
          <w:bCs/>
          <w:sz w:val="28"/>
          <w:szCs w:val="28"/>
        </w:rPr>
        <w:t>通过核查该项目财务资料，存在1.56万元支出属于该项目预算外支出。如，购买办公桌椅0.22万元，支付音响安装费1.05万元和购买办公用品0.29万元。</w:t>
      </w:r>
    </w:p>
    <w:p>
      <w:pPr>
        <w:adjustRightInd w:val="0"/>
        <w:snapToGrid w:val="0"/>
        <w:spacing w:line="360" w:lineRule="auto"/>
        <w:ind w:firstLine="560" w:firstLineChars="200"/>
        <w:outlineLvl w:val="1"/>
        <w:rPr>
          <w:bCs/>
          <w:sz w:val="28"/>
          <w:szCs w:val="28"/>
        </w:rPr>
      </w:pPr>
      <w:bookmarkStart w:id="59" w:name="_Toc46675018"/>
      <w:r>
        <w:rPr>
          <w:rFonts w:hint="eastAsia"/>
          <w:bCs/>
          <w:sz w:val="28"/>
          <w:szCs w:val="28"/>
        </w:rPr>
        <w:t>（三）项目档案未及时归档</w:t>
      </w:r>
      <w:bookmarkEnd w:id="59"/>
    </w:p>
    <w:p>
      <w:pPr>
        <w:adjustRightInd w:val="0"/>
        <w:snapToGrid w:val="0"/>
        <w:spacing w:line="360" w:lineRule="auto"/>
        <w:ind w:firstLine="560" w:firstLineChars="200"/>
        <w:rPr>
          <w:bCs/>
          <w:sz w:val="28"/>
          <w:szCs w:val="28"/>
        </w:rPr>
      </w:pPr>
      <w:r>
        <w:rPr>
          <w:rFonts w:hint="eastAsia"/>
          <w:bCs/>
          <w:sz w:val="28"/>
          <w:szCs w:val="28"/>
        </w:rPr>
        <w:t>通过核查该项目档案，该项目档案情况较为零散，项目合同书、验收报告、技术鉴定等涉及到项目的资料不齐全并未及时归档。</w:t>
      </w:r>
    </w:p>
    <w:p>
      <w:pPr>
        <w:adjustRightInd w:val="0"/>
        <w:snapToGrid w:val="0"/>
        <w:spacing w:line="360" w:lineRule="auto"/>
        <w:ind w:firstLine="641" w:firstLineChars="228"/>
        <w:rPr>
          <w:b/>
          <w:bCs/>
          <w:sz w:val="28"/>
          <w:szCs w:val="28"/>
        </w:rPr>
      </w:pPr>
    </w:p>
    <w:p>
      <w:pPr>
        <w:pStyle w:val="24"/>
        <w:numPr>
          <w:ilvl w:val="0"/>
          <w:numId w:val="1"/>
        </w:numPr>
        <w:adjustRightInd w:val="0"/>
        <w:snapToGrid w:val="0"/>
        <w:spacing w:line="360" w:lineRule="auto"/>
        <w:ind w:firstLineChars="0"/>
        <w:outlineLvl w:val="0"/>
        <w:rPr>
          <w:rFonts w:ascii="黑体" w:hAnsi="黑体" w:eastAsia="黑体"/>
          <w:b/>
          <w:bCs/>
          <w:sz w:val="28"/>
          <w:szCs w:val="28"/>
        </w:rPr>
      </w:pPr>
      <w:bookmarkStart w:id="60" w:name="_Toc46675019"/>
      <w:bookmarkStart w:id="61" w:name="_Toc7780"/>
      <w:r>
        <w:rPr>
          <w:rFonts w:hint="eastAsia" w:ascii="黑体" w:hAnsi="黑体" w:eastAsia="黑体"/>
          <w:b/>
          <w:bCs/>
          <w:sz w:val="28"/>
          <w:szCs w:val="28"/>
        </w:rPr>
        <w:t>相关建议</w:t>
      </w:r>
      <w:bookmarkEnd w:id="60"/>
      <w:bookmarkEnd w:id="61"/>
    </w:p>
    <w:p>
      <w:pPr>
        <w:tabs>
          <w:tab w:val="left" w:pos="1800"/>
        </w:tabs>
        <w:adjustRightInd w:val="0"/>
        <w:snapToGrid w:val="0"/>
        <w:spacing w:line="360" w:lineRule="auto"/>
        <w:ind w:left="601"/>
        <w:outlineLvl w:val="1"/>
        <w:rPr>
          <w:b/>
          <w:bCs/>
          <w:sz w:val="28"/>
          <w:szCs w:val="28"/>
        </w:rPr>
      </w:pPr>
      <w:bookmarkStart w:id="62" w:name="_Toc46675020"/>
      <w:bookmarkStart w:id="63" w:name="_Toc25189"/>
      <w:r>
        <w:rPr>
          <w:rFonts w:hint="eastAsia"/>
          <w:b/>
          <w:bCs/>
          <w:sz w:val="28"/>
          <w:szCs w:val="28"/>
        </w:rPr>
        <w:t>（一）加强项目申报管理</w:t>
      </w:r>
      <w:bookmarkEnd w:id="62"/>
    </w:p>
    <w:p>
      <w:pPr>
        <w:tabs>
          <w:tab w:val="left" w:pos="1800"/>
        </w:tabs>
        <w:adjustRightInd w:val="0"/>
        <w:snapToGrid w:val="0"/>
        <w:spacing w:line="360" w:lineRule="auto"/>
        <w:ind w:firstLine="560" w:firstLineChars="200"/>
        <w:rPr>
          <w:bCs/>
          <w:sz w:val="28"/>
          <w:szCs w:val="28"/>
        </w:rPr>
      </w:pPr>
      <w:r>
        <w:rPr>
          <w:rFonts w:hint="eastAsia"/>
          <w:bCs/>
          <w:sz w:val="28"/>
          <w:szCs w:val="28"/>
        </w:rPr>
        <w:t>绩效目标作为考核预算单位预算绩效管理工作的重要方式，区发改委作为主管部门申报当年预算时，应按照区财政局规定，填写项目申报书、绩效目标表并附相关材料。应当按照区财政局规定的时间报送项目申报材料，并对项目申报材料内容的真实性、准确性、完整性负责。区财政局应加强对发改委申报的绩效目标规范性、有效性审核，避免出现资金使用无目标，切实提高财政资金使用效率。</w:t>
      </w:r>
    </w:p>
    <w:bookmarkEnd w:id="63"/>
    <w:p>
      <w:pPr>
        <w:tabs>
          <w:tab w:val="left" w:pos="1800"/>
        </w:tabs>
        <w:adjustRightInd w:val="0"/>
        <w:snapToGrid w:val="0"/>
        <w:spacing w:line="360" w:lineRule="auto"/>
        <w:ind w:firstLine="641" w:firstLineChars="228"/>
        <w:outlineLvl w:val="1"/>
        <w:rPr>
          <w:b/>
          <w:bCs/>
          <w:sz w:val="28"/>
          <w:szCs w:val="28"/>
        </w:rPr>
      </w:pPr>
      <w:bookmarkStart w:id="64" w:name="_Toc46058738"/>
      <w:bookmarkStart w:id="65" w:name="_Toc46675021"/>
      <w:r>
        <w:rPr>
          <w:rFonts w:hint="eastAsia"/>
          <w:b/>
          <w:bCs/>
          <w:sz w:val="28"/>
          <w:szCs w:val="28"/>
        </w:rPr>
        <w:t>（二）加强预算执行管理</w:t>
      </w:r>
      <w:bookmarkEnd w:id="64"/>
      <w:bookmarkEnd w:id="65"/>
    </w:p>
    <w:p>
      <w:pPr>
        <w:tabs>
          <w:tab w:val="left" w:pos="1800"/>
        </w:tabs>
        <w:adjustRightInd w:val="0"/>
        <w:snapToGrid w:val="0"/>
        <w:spacing w:line="360" w:lineRule="auto"/>
        <w:ind w:firstLine="638" w:firstLineChars="228"/>
        <w:rPr>
          <w:sz w:val="28"/>
          <w:szCs w:val="28"/>
        </w:rPr>
      </w:pPr>
      <w:r>
        <w:rPr>
          <w:rFonts w:hint="eastAsia"/>
          <w:sz w:val="28"/>
          <w:szCs w:val="28"/>
        </w:rPr>
        <w:t>区发改委要按照批复的项目支出预算组织项目的实施，并严格执行项目计划和项目支出预算。项目支出预算一经批复，不得自行调整。如需调整，须原路径审批。要严格按照规定的项目内容、预算金额、具体用途、预算科目以及项目进度要求执行。</w:t>
      </w:r>
    </w:p>
    <w:p>
      <w:pPr>
        <w:tabs>
          <w:tab w:val="left" w:pos="1800"/>
        </w:tabs>
        <w:adjustRightInd w:val="0"/>
        <w:snapToGrid w:val="0"/>
        <w:spacing w:line="360" w:lineRule="auto"/>
        <w:ind w:firstLine="641" w:firstLineChars="228"/>
        <w:outlineLvl w:val="1"/>
        <w:rPr>
          <w:b/>
          <w:bCs/>
          <w:sz w:val="28"/>
          <w:szCs w:val="28"/>
        </w:rPr>
      </w:pPr>
      <w:bookmarkStart w:id="66" w:name="_Toc46675022"/>
      <w:r>
        <w:rPr>
          <w:rFonts w:hint="eastAsia"/>
          <w:b/>
          <w:bCs/>
          <w:sz w:val="28"/>
          <w:szCs w:val="28"/>
        </w:rPr>
        <w:t>（三）加强档案管理</w:t>
      </w:r>
      <w:bookmarkEnd w:id="66"/>
    </w:p>
    <w:p>
      <w:pPr>
        <w:tabs>
          <w:tab w:val="left" w:pos="1800"/>
        </w:tabs>
        <w:adjustRightInd w:val="0"/>
        <w:snapToGrid w:val="0"/>
        <w:spacing w:line="360" w:lineRule="auto"/>
        <w:ind w:firstLine="638" w:firstLineChars="228"/>
        <w:rPr>
          <w:sz w:val="28"/>
          <w:szCs w:val="28"/>
        </w:rPr>
      </w:pPr>
      <w:r>
        <w:rPr>
          <w:rFonts w:hint="eastAsia"/>
          <w:sz w:val="28"/>
          <w:szCs w:val="28"/>
        </w:rPr>
        <w:t>进一步规范发展规划业务工作的档案管理工作，保证资料的真实性和准确性。主管部门在检查过程中，严格执行标准中有关内业质量的要求。问题严重的可以进行相应处罚，以此提高工程内业质量。在档案管理中，区发改委应制定一套严格的档案管理办法，对内业资料存档要严格把关,加强内业资料管理。</w:t>
      </w:r>
    </w:p>
    <w:p>
      <w:pPr>
        <w:tabs>
          <w:tab w:val="left" w:pos="1800"/>
        </w:tabs>
        <w:adjustRightInd w:val="0"/>
        <w:snapToGrid w:val="0"/>
        <w:spacing w:line="360" w:lineRule="auto"/>
        <w:ind w:firstLine="638" w:firstLineChars="228"/>
        <w:rPr>
          <w:sz w:val="28"/>
          <w:szCs w:val="28"/>
        </w:rPr>
      </w:pPr>
    </w:p>
    <w:p>
      <w:pPr>
        <w:pStyle w:val="24"/>
        <w:numPr>
          <w:ilvl w:val="0"/>
          <w:numId w:val="1"/>
        </w:numPr>
        <w:adjustRightInd w:val="0"/>
        <w:snapToGrid w:val="0"/>
        <w:spacing w:line="360" w:lineRule="auto"/>
        <w:ind w:firstLineChars="0"/>
        <w:outlineLvl w:val="0"/>
        <w:rPr>
          <w:rFonts w:ascii="黑体" w:hAnsi="黑体" w:eastAsia="黑体"/>
          <w:b/>
          <w:bCs/>
          <w:sz w:val="28"/>
          <w:szCs w:val="28"/>
        </w:rPr>
      </w:pPr>
      <w:bookmarkStart w:id="67" w:name="_Toc46675023"/>
      <w:r>
        <w:rPr>
          <w:rFonts w:hint="eastAsia" w:ascii="黑体" w:hAnsi="黑体" w:eastAsia="黑体"/>
          <w:b/>
          <w:bCs/>
          <w:sz w:val="28"/>
          <w:szCs w:val="28"/>
        </w:rPr>
        <w:t>其他说明</w:t>
      </w:r>
      <w:bookmarkEnd w:id="67"/>
    </w:p>
    <w:p>
      <w:pPr>
        <w:tabs>
          <w:tab w:val="left" w:pos="1800"/>
        </w:tabs>
        <w:adjustRightInd w:val="0"/>
        <w:snapToGrid w:val="0"/>
        <w:spacing w:line="360" w:lineRule="auto"/>
        <w:ind w:firstLine="638" w:firstLineChars="228"/>
        <w:rPr>
          <w:sz w:val="28"/>
          <w:szCs w:val="28"/>
        </w:rPr>
      </w:pPr>
      <w:r>
        <w:rPr>
          <w:rFonts w:hint="eastAsia"/>
          <w:sz w:val="28"/>
          <w:szCs w:val="28"/>
        </w:rPr>
        <w:t>区发改委的主要职责是拟定并实施全区国民经济和社会发展战略、中长期规划和年度计划，跟踪分析和协调年度计划与中长期规划的执行情况；负责监测全区国民经济和社会发展态势，承担预测预警和信息引导责任；承担指导推进和综合协调经济体制改革责任；承担社会固定资产投资调控，规划重点建设项目和生产力布局的责任。</w:t>
      </w:r>
    </w:p>
    <w:p>
      <w:pPr>
        <w:tabs>
          <w:tab w:val="left" w:pos="1800"/>
        </w:tabs>
        <w:adjustRightInd w:val="0"/>
        <w:snapToGrid w:val="0"/>
        <w:spacing w:line="360" w:lineRule="auto"/>
        <w:ind w:firstLine="638" w:firstLineChars="228"/>
        <w:rPr>
          <w:sz w:val="28"/>
          <w:szCs w:val="28"/>
        </w:rPr>
      </w:pPr>
    </w:p>
    <w:p>
      <w:pPr>
        <w:tabs>
          <w:tab w:val="left" w:pos="1800"/>
        </w:tabs>
        <w:adjustRightInd w:val="0"/>
        <w:snapToGrid w:val="0"/>
        <w:spacing w:line="360" w:lineRule="auto"/>
        <w:ind w:firstLine="562" w:firstLineChars="200"/>
        <w:outlineLvl w:val="0"/>
        <w:rPr>
          <w:b/>
          <w:sz w:val="28"/>
          <w:szCs w:val="28"/>
        </w:rPr>
      </w:pPr>
      <w:bookmarkStart w:id="68" w:name="_Toc46675024"/>
      <w:r>
        <w:rPr>
          <w:rFonts w:hint="eastAsia"/>
          <w:b/>
          <w:sz w:val="28"/>
          <w:szCs w:val="28"/>
        </w:rPr>
        <w:t>附件：</w:t>
      </w:r>
      <w:bookmarkEnd w:id="68"/>
    </w:p>
    <w:p>
      <w:pPr>
        <w:tabs>
          <w:tab w:val="left" w:pos="1800"/>
        </w:tabs>
        <w:adjustRightInd w:val="0"/>
        <w:snapToGrid w:val="0"/>
        <w:spacing w:line="360" w:lineRule="auto"/>
        <w:ind w:firstLine="560" w:firstLineChars="200"/>
        <w:rPr>
          <w:sz w:val="28"/>
          <w:szCs w:val="28"/>
        </w:rPr>
      </w:pPr>
      <w:r>
        <w:rPr>
          <w:rFonts w:hint="eastAsia"/>
          <w:sz w:val="28"/>
          <w:szCs w:val="28"/>
        </w:rPr>
        <w:t>1.北碚区20</w:t>
      </w:r>
      <w:r>
        <w:rPr>
          <w:sz w:val="28"/>
          <w:szCs w:val="28"/>
        </w:rPr>
        <w:t>19</w:t>
      </w:r>
      <w:r>
        <w:rPr>
          <w:rFonts w:hint="eastAsia"/>
          <w:sz w:val="28"/>
          <w:szCs w:val="28"/>
        </w:rPr>
        <w:t>年度发展规划业务项目绩效评价指标体系评分表</w:t>
      </w:r>
    </w:p>
    <w:p>
      <w:pPr>
        <w:tabs>
          <w:tab w:val="left" w:pos="1800"/>
        </w:tabs>
        <w:adjustRightInd w:val="0"/>
        <w:snapToGrid w:val="0"/>
        <w:spacing w:line="360" w:lineRule="auto"/>
        <w:ind w:firstLine="600" w:firstLineChars="200"/>
        <w:rPr>
          <w:sz w:val="28"/>
          <w:szCs w:val="28"/>
        </w:rPr>
      </w:pPr>
      <w:r>
        <w:rPr>
          <w:rFonts w:hint="eastAsia"/>
        </w:rPr>
        <w:t>2.</w:t>
      </w:r>
      <w:r>
        <w:rPr>
          <w:rFonts w:hint="eastAsia"/>
          <w:sz w:val="28"/>
          <w:szCs w:val="28"/>
        </w:rPr>
        <w:t>北碚区</w:t>
      </w:r>
      <w:r>
        <w:rPr>
          <w:sz w:val="28"/>
          <w:szCs w:val="28"/>
        </w:rPr>
        <w:t>2019</w:t>
      </w:r>
      <w:r>
        <w:rPr>
          <w:rFonts w:hint="eastAsia"/>
          <w:sz w:val="28"/>
          <w:szCs w:val="28"/>
        </w:rPr>
        <w:t>年度发展规划业务项目绩效评价问卷调查表</w:t>
      </w:r>
    </w:p>
    <w:p/>
    <w:p>
      <w:pPr>
        <w:spacing w:line="540" w:lineRule="auto"/>
      </w:pPr>
      <w:bookmarkStart w:id="69" w:name="_Hlk46242592"/>
      <w:r>
        <w:rPr>
          <w:rFonts w:hint="eastAsia"/>
        </w:rPr>
        <w:t>天健会计师事务所（特殊普通合伙）重庆分所  中国注册会计师：</w:t>
      </w:r>
    </w:p>
    <w:p>
      <w:pPr>
        <w:spacing w:line="540" w:lineRule="auto"/>
      </w:pPr>
      <w:r>
        <w:rPr>
          <w:rFonts w:hint="eastAsia"/>
        </w:rPr>
        <w:t xml:space="preserve">                中国</w:t>
      </w:r>
      <w:r>
        <w:rPr>
          <w:rFonts w:hint="cs"/>
        </w:rPr>
        <w:t>•</w:t>
      </w:r>
      <w:r>
        <w:rPr>
          <w:rFonts w:hint="eastAsia"/>
        </w:rPr>
        <w:t>重庆</w:t>
      </w:r>
      <w:r>
        <w:tab/>
      </w:r>
      <w:r>
        <w:tab/>
      </w:r>
      <w:r>
        <w:t xml:space="preserve">          </w:t>
      </w:r>
      <w:r>
        <w:rPr>
          <w:rFonts w:hint="eastAsia"/>
        </w:rPr>
        <w:t xml:space="preserve">   中国注册会计师：</w:t>
      </w:r>
    </w:p>
    <w:p>
      <w:pPr>
        <w:spacing w:line="540" w:lineRule="auto"/>
        <w:ind w:firstLine="600" w:firstLineChars="200"/>
        <w:jc w:val="right"/>
      </w:pPr>
      <w:r>
        <w:tab/>
      </w:r>
      <w:r>
        <w:tab/>
      </w:r>
      <w:r>
        <w:rPr>
          <w:rFonts w:hint="eastAsia"/>
        </w:rPr>
        <w:t>二〇二零年七月二十日</w:t>
      </w:r>
    </w:p>
    <w:bookmarkEnd w:id="69"/>
    <w:p>
      <w:pPr>
        <w:ind w:firstLine="600" w:firstLineChars="200"/>
        <w:sectPr>
          <w:pgSz w:w="11906" w:h="16838"/>
          <w:pgMar w:top="1440" w:right="1800" w:bottom="1440" w:left="1800" w:header="851" w:footer="992" w:gutter="0"/>
          <w:cols w:space="425" w:num="1"/>
          <w:docGrid w:type="lines" w:linePitch="312" w:charSpace="0"/>
        </w:sectPr>
      </w:pPr>
    </w:p>
    <w:p>
      <w:bookmarkStart w:id="70" w:name="_Hlk46243456"/>
      <w:r>
        <w:rPr>
          <w:rFonts w:hint="eastAsia"/>
        </w:rPr>
        <w:t>附件1：北碚区20</w:t>
      </w:r>
      <w:r>
        <w:t>19</w:t>
      </w:r>
      <w:r>
        <w:rPr>
          <w:rFonts w:hint="eastAsia"/>
        </w:rPr>
        <w:t>年度发展规划业务项目绩效评价指标体系评分表</w:t>
      </w:r>
    </w:p>
    <w:bookmarkEnd w:id="70"/>
    <w:tbl>
      <w:tblPr>
        <w:tblStyle w:val="13"/>
        <w:tblW w:w="143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606"/>
        <w:gridCol w:w="709"/>
        <w:gridCol w:w="565"/>
        <w:gridCol w:w="709"/>
        <w:gridCol w:w="568"/>
        <w:gridCol w:w="3091"/>
        <w:gridCol w:w="1039"/>
        <w:gridCol w:w="1177"/>
        <w:gridCol w:w="2221"/>
        <w:gridCol w:w="921"/>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812"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一级指标</w:t>
            </w:r>
          </w:p>
        </w:tc>
        <w:tc>
          <w:tcPr>
            <w:tcW w:w="606"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709"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二级指标</w:t>
            </w:r>
          </w:p>
        </w:tc>
        <w:tc>
          <w:tcPr>
            <w:tcW w:w="565"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709"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三级指标</w:t>
            </w:r>
          </w:p>
        </w:tc>
        <w:tc>
          <w:tcPr>
            <w:tcW w:w="568"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3091"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四级指标</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1177"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指标说明</w:t>
            </w:r>
          </w:p>
        </w:tc>
        <w:tc>
          <w:tcPr>
            <w:tcW w:w="2221"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计分方式</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得分</w:t>
            </w:r>
          </w:p>
        </w:tc>
        <w:tc>
          <w:tcPr>
            <w:tcW w:w="1932"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2"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决策　</w:t>
            </w:r>
          </w:p>
        </w:tc>
        <w:tc>
          <w:tcPr>
            <w:tcW w:w="606"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15</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项目立项　</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立项依据充分性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①项目立项是否符合国家法律法规、国民经济发展规划和相关政策；</w:t>
            </w:r>
          </w:p>
        </w:tc>
        <w:tc>
          <w:tcPr>
            <w:tcW w:w="10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项目立项是否符合法律法规、相关政策、发展规划以及部门职责，用以反映和考核项目立项依据情况。</w:t>
            </w:r>
          </w:p>
        </w:tc>
        <w:tc>
          <w:tcPr>
            <w:tcW w:w="222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符合得0.5分；</w:t>
            </w:r>
          </w:p>
        </w:tc>
        <w:tc>
          <w:tcPr>
            <w:tcW w:w="92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932"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②项目立项是否符合行业发展规划和政策要求；</w:t>
            </w: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③项目立项是否与部门职责范围相符，属于部门履职所需；</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相符得0.5分；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932"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④项目是否属于公共财政支持范围，是否符合中央、地方事权支出责任划分原则；</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符合得0.5分；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932"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⑤项目是否与相关部门同类项目或部门内部相关项目重复。</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不重复得0.5分；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立项程序规范性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①项目是否按照规定的程序申请设立；</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项目申请、设立过程是否符合相关要求，用以反映和考核项目立项的规范情况。</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按照程序1分；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②审批文件、材料是否符合相关要求；</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符合要求1分；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③事前是否已经过必要的可行性研究、专家论证、风险评估、绩效评估、集体决策。</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有必要的决策1分；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　</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绩效目标合理性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①项目是否有绩效目标；</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项目所设定的绩效目标是否依据充分，是否符合客观实际，用以反映和考核项目绩效目标与项目实施的相符情况。（如未设定预算绩效目标，也可考核其他工作任务目标）</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有绩效目标0.5分；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宋体" w:hAnsi="宋体" w:eastAsia="宋体" w:cs="宋体"/>
                <w:color w:val="000000"/>
                <w:kern w:val="0"/>
                <w:sz w:val="20"/>
                <w:szCs w:val="20"/>
              </w:rPr>
              <w:t>0.00</w:t>
            </w:r>
          </w:p>
        </w:tc>
        <w:tc>
          <w:tcPr>
            <w:tcW w:w="193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仿宋"/>
                <w:color w:val="000000"/>
                <w:kern w:val="0"/>
                <w:sz w:val="21"/>
                <w:szCs w:val="21"/>
              </w:rPr>
              <w:t>该项目未设立有效的绩效目标。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②项目绩效目标与实际工作内容是否具有相关性；</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具有相关性0.5分；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w:t>
            </w:r>
            <w:r>
              <w:rPr>
                <w:rFonts w:ascii="仿宋" w:hAnsi="仿宋" w:eastAsia="仿宋" w:cs="宋体"/>
                <w:color w:val="000000"/>
                <w:kern w:val="0"/>
                <w:sz w:val="21"/>
                <w:szCs w:val="21"/>
              </w:rPr>
              <w:t>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仿宋"/>
                <w:color w:val="000000"/>
                <w:kern w:val="0"/>
                <w:sz w:val="21"/>
                <w:szCs w:val="21"/>
              </w:rPr>
              <w:t>该项目未设立有效的绩效目标。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③项目预期产出效益和效果是否符合正常的业绩水平；</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符合正常水平0.5分；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仿宋"/>
                <w:color w:val="000000"/>
                <w:kern w:val="0"/>
                <w:sz w:val="21"/>
                <w:szCs w:val="21"/>
              </w:rPr>
              <w:t>该项目未设立有效的绩效目标。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④是否与预算确定的项目投资额或资金量相匹配。</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相匹配0.5分；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仿宋"/>
                <w:color w:val="000000"/>
                <w:kern w:val="0"/>
                <w:sz w:val="21"/>
                <w:szCs w:val="21"/>
              </w:rPr>
              <w:t>该项目未设立有效的绩效目标。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绩效指标明确性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①是否将项目绩效目标细化分解为具体的绩效指标；</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依据绩效目标设定的绩效指标是否清晰、细化、可衡量等，用以反映和考核项目绩效目标的明细化情况。</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细化、具体1分；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0</w:t>
            </w:r>
            <w:r>
              <w:rPr>
                <w:rFonts w:hint="eastAsia" w:ascii="仿宋" w:hAnsi="仿宋" w:eastAsia="仿宋" w:cs="宋体"/>
                <w:color w:val="000000"/>
                <w:kern w:val="0"/>
                <w:sz w:val="21"/>
                <w:szCs w:val="21"/>
              </w:rPr>
              <w:t>.00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绩效目标未制定可衡量的指标值。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②是否通过清晰、可衡量的指标值予以体现；</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有可衡量指标值1分；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绩效目标未制定可衡量的指标值。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③是否与项目目标任务数或计划数相对应。</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相对应1分；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0</w:t>
            </w:r>
            <w:r>
              <w:rPr>
                <w:rFonts w:hint="eastAsia" w:ascii="仿宋" w:hAnsi="仿宋" w:eastAsia="仿宋" w:cs="宋体"/>
                <w:color w:val="000000"/>
                <w:kern w:val="0"/>
                <w:sz w:val="21"/>
                <w:szCs w:val="21"/>
              </w:rPr>
              <w:t>.00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绩效目标未制定可衡量的指标值。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资金投入</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预算编制科学性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3091" w:type="dxa"/>
            <w:shd w:val="clear" w:color="000000" w:fill="FFFFFF"/>
            <w:vAlign w:val="center"/>
          </w:tcPr>
          <w:p>
            <w:pPr>
              <w:pStyle w:val="24"/>
              <w:widowControl/>
              <w:numPr>
                <w:ilvl w:val="0"/>
                <w:numId w:val="2"/>
              </w:numPr>
              <w:adjustRightInd w:val="0"/>
              <w:snapToGrid w:val="0"/>
              <w:spacing w:line="240" w:lineRule="atLeast"/>
              <w:ind w:firstLineChars="0"/>
              <w:rPr>
                <w:rFonts w:ascii="仿宋" w:hAnsi="仿宋" w:eastAsia="仿宋" w:cs="宋体"/>
                <w:color w:val="000000"/>
                <w:kern w:val="0"/>
                <w:sz w:val="21"/>
                <w:szCs w:val="21"/>
              </w:rPr>
            </w:pPr>
            <w:r>
              <w:rPr>
                <w:rFonts w:hint="eastAsia" w:ascii="仿宋" w:hAnsi="仿宋" w:eastAsia="仿宋" w:cs="宋体"/>
                <w:color w:val="000000"/>
                <w:kern w:val="0"/>
                <w:sz w:val="21"/>
                <w:szCs w:val="21"/>
              </w:rPr>
              <w:t>预算编制是否经过科学论证；</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项目预算编制是否经过科学论证、有明确标准，资金额度与年度目标是否相适应，用以反映和考核项目预算编制的科学性、合理性情况。</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9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②预算内容与项目内容是否匹配；</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匹配1分；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③预算额度测算依据是否充分，是否按照标准编制；</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有依据、计算准确1分；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1</w:t>
            </w:r>
            <w:r>
              <w:rPr>
                <w:rFonts w:hint="eastAsia" w:ascii="仿宋" w:hAnsi="仿宋" w:eastAsia="仿宋" w:cs="宋体"/>
                <w:color w:val="000000"/>
                <w:kern w:val="0"/>
                <w:sz w:val="21"/>
                <w:szCs w:val="21"/>
              </w:rPr>
              <w:t>.00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④预算确定的项目投资额或资金量是否与工作任务相匹配。</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相匹配1分；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资金分配合理性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①预算资金分配依据是否充分；</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项目预算资金分配是否有测算依据，与补助单位或地方实际是否相适应，用以反映和考核项目预算资金分配的科学性、合理性情况。</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分配依据充分1分；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②资金分配额度是否合理，与项目单位或地方实际是否相适应。</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分配合理1分；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过程管理</w:t>
            </w:r>
          </w:p>
        </w:tc>
        <w:tc>
          <w:tcPr>
            <w:tcW w:w="606"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资金管理</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资金到位率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309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资金到位率=（实际到位资金/预算资金）×100%。</w:t>
            </w:r>
          </w:p>
        </w:tc>
        <w:tc>
          <w:tcPr>
            <w:tcW w:w="10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实际到位资金与预算资金的比率，用以反映和考核资金落实情况对项目实施的总体保障程度。</w:t>
            </w:r>
          </w:p>
        </w:tc>
        <w:tc>
          <w:tcPr>
            <w:tcW w:w="2221"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资金到位率≤60%，得零分；60%&lt;资金到位率&lt;100%，得分=资金到位率*分值；资金到位率≥100%，满分；</w:t>
            </w:r>
          </w:p>
        </w:tc>
        <w:tc>
          <w:tcPr>
            <w:tcW w:w="92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932"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309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预算执行率=（实际支出资金/实际到位资金）×100%。</w:t>
            </w:r>
          </w:p>
        </w:tc>
        <w:tc>
          <w:tcPr>
            <w:tcW w:w="10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项目预算资金是否按照计划执行，用以反映或考核项目预算执行情况。</w:t>
            </w:r>
          </w:p>
        </w:tc>
        <w:tc>
          <w:tcPr>
            <w:tcW w:w="222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预算执行率≤92%，得零分；92%&lt;预算执行率&lt;100%，得分=预算执行率*分值；预算执行率≥100%，满分；</w:t>
            </w:r>
          </w:p>
        </w:tc>
        <w:tc>
          <w:tcPr>
            <w:tcW w:w="92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193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资金使用合规性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①是否符合国家财经法规和财务管理制度以及有关专项资金管理办法的规定；</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项目资金使用是否符合相关的财务管理制度规定，用以反映和考核项目资金的规范运行情况。</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出现1例不符合扣0.5分，两例以上，得零分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②资金的拨付是否有完整的审批程序和手续；</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出现1例不完整扣0.5分，两例以上，得零分；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③是否符合项目预算批复或合同规定的用途；</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出现不符合，得零分；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r>
              <w:rPr>
                <w:rFonts w:hint="eastAsia" w:ascii="仿宋" w:hAnsi="仿宋" w:eastAsia="仿宋" w:cs="仿宋"/>
                <w:color w:val="000000"/>
                <w:kern w:val="0"/>
                <w:sz w:val="21"/>
                <w:szCs w:val="21"/>
              </w:rPr>
              <w:t>存在1.56万元属于预算外支出，用于购买办公桌椅以及办公用品的情况。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④是否存在截留、挤占、挪用、虚列支出等情况。</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出现1例不完整扣1分，两例以上，得零分；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932" w:type="dxa"/>
            <w:shd w:val="clear" w:color="000000" w:fill="FFFFFF"/>
            <w:vAlign w:val="center"/>
          </w:tcPr>
          <w:p>
            <w:pPr>
              <w:widowControl/>
              <w:adjustRightInd w:val="0"/>
              <w:snapToGrid w:val="0"/>
              <w:spacing w:line="240" w:lineRule="atLeast"/>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组织实施</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管理制度健全性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①是否已制定或具有相应的财务和业务管理制度；</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项目实施单位的财务和业务管理制度是否健全，用以反映和考核财务和业务管理制度对项目顺利实施的保障情况。</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制定财务制度1分，制定业务制度1分；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未制定相关规划业务制度。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②财务和业务管理制度是否合法、合规、完整。</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出现不合法、不合规，得零分，出现不完整扣1分；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193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制度执行有效性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①是否遵守相关法律法规和相关管理规定；</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项目实施是否符合相关管理规定，用以反映和考核相关管理制度的有效执行情况。</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出现1类不合规并已经处理扣1分，出现1类不合规并未处理扣2分。本项分数可占用制度有效性内所有分数5分。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2</w:t>
            </w:r>
            <w:r>
              <w:rPr>
                <w:rFonts w:hint="eastAsia" w:ascii="仿宋" w:hAnsi="仿宋" w:eastAsia="仿宋" w:cs="宋体"/>
                <w:color w:val="000000"/>
                <w:kern w:val="0"/>
                <w:sz w:val="21"/>
                <w:szCs w:val="21"/>
              </w:rPr>
              <w:t>.00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②项目调整及支出调整手续是否完备；</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手续完备得1分；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③项目合同书、验收报告、技术鉴定等资料是否齐全并及时归档；</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档案齐全得1分；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0</w:t>
            </w:r>
            <w:r>
              <w:rPr>
                <w:rFonts w:hint="eastAsia" w:ascii="仿宋" w:hAnsi="仿宋" w:eastAsia="仿宋" w:cs="宋体"/>
                <w:color w:val="000000"/>
                <w:kern w:val="0"/>
                <w:sz w:val="21"/>
                <w:szCs w:val="21"/>
              </w:rPr>
              <w:t>.00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该项目档案情况较为零散，项资料不齐全且未及时归档。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④项目实施的人员条件、场地设备、信息支撑等是否落实到位。</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专人负责得0.5分，专业的设备支撑0.5分；</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2"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w:t>
            </w:r>
          </w:p>
        </w:tc>
        <w:tc>
          <w:tcPr>
            <w:tcW w:w="606"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产出数量</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实际完成率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309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实际完成率=（实际产出数/计划产出数）×100%。</w:t>
            </w:r>
          </w:p>
        </w:tc>
        <w:tc>
          <w:tcPr>
            <w:tcW w:w="10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项目实施的实际产出数与计划产出数的比率，用以反映和考核项目产出数量目标的实现程度。</w:t>
            </w:r>
          </w:p>
        </w:tc>
        <w:tc>
          <w:tcPr>
            <w:tcW w:w="2221"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实际完成率≤60%，得零分；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60%&lt;实际完成率&lt;100%，得分=实际完成率*分值；</w:t>
            </w:r>
            <w:r>
              <w:rPr>
                <w:rFonts w:hint="eastAsia" w:ascii="仿宋" w:hAnsi="仿宋" w:eastAsia="仿宋" w:cs="宋体"/>
                <w:kern w:val="0"/>
                <w:sz w:val="21"/>
                <w:szCs w:val="21"/>
              </w:rPr>
              <w:br w:type="textWrapping"/>
            </w:r>
            <w:r>
              <w:rPr>
                <w:rFonts w:hint="eastAsia" w:ascii="仿宋" w:hAnsi="仿宋" w:eastAsia="仿宋" w:cs="宋体"/>
                <w:kern w:val="0"/>
                <w:sz w:val="21"/>
                <w:szCs w:val="21"/>
              </w:rPr>
              <w:t>实际完成率≥100%，满分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（变化比率根据具体项目实际情况可调。）</w:t>
            </w:r>
          </w:p>
        </w:tc>
        <w:tc>
          <w:tcPr>
            <w:tcW w:w="921" w:type="dxa"/>
            <w:vMerge w:val="restart"/>
            <w:shd w:val="clear" w:color="auto" w:fill="auto"/>
            <w:vAlign w:val="center"/>
          </w:tcPr>
          <w:p>
            <w:pPr>
              <w:widowControl/>
              <w:adjustRightInd w:val="0"/>
              <w:snapToGrid w:val="0"/>
              <w:spacing w:line="240" w:lineRule="atLeast"/>
              <w:jc w:val="center"/>
              <w:rPr>
                <w:rFonts w:ascii="仿宋" w:hAnsi="仿宋" w:eastAsia="仿宋" w:cs="宋体"/>
                <w:kern w:val="0"/>
                <w:sz w:val="21"/>
                <w:szCs w:val="21"/>
              </w:rPr>
            </w:pPr>
            <w:r>
              <w:rPr>
                <w:rFonts w:ascii="仿宋" w:hAnsi="仿宋" w:eastAsia="仿宋" w:cs="宋体"/>
                <w:kern w:val="0"/>
                <w:sz w:val="21"/>
                <w:szCs w:val="21"/>
              </w:rPr>
              <w:t>10</w:t>
            </w:r>
            <w:r>
              <w:rPr>
                <w:rFonts w:hint="eastAsia" w:ascii="仿宋" w:hAnsi="仿宋" w:eastAsia="仿宋" w:cs="宋体"/>
                <w:kern w:val="0"/>
                <w:sz w:val="21"/>
                <w:szCs w:val="21"/>
              </w:rPr>
              <w:t>.</w:t>
            </w:r>
            <w:r>
              <w:rPr>
                <w:rFonts w:ascii="仿宋" w:hAnsi="仿宋" w:eastAsia="仿宋" w:cs="宋体"/>
                <w:kern w:val="0"/>
                <w:sz w:val="21"/>
                <w:szCs w:val="21"/>
              </w:rPr>
              <w:t>00</w:t>
            </w:r>
          </w:p>
        </w:tc>
        <w:tc>
          <w:tcPr>
            <w:tcW w:w="1932"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1932"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1932"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质量达标率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309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质量达标率=（质量达标产出数/实际产出数）×100%。</w:t>
            </w:r>
          </w:p>
        </w:tc>
        <w:tc>
          <w:tcPr>
            <w:tcW w:w="10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项目完成的质量达标产出数与实际产出数的比率，用以反映和考核项目产出质量目标的实现程度。</w:t>
            </w:r>
          </w:p>
        </w:tc>
        <w:tc>
          <w:tcPr>
            <w:tcW w:w="2221"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质量达标率≤60%，得零分；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60%&lt;质量达标率&lt;100%，得分=质量达标率*分值；</w:t>
            </w:r>
            <w:r>
              <w:rPr>
                <w:rFonts w:hint="eastAsia" w:ascii="仿宋" w:hAnsi="仿宋" w:eastAsia="仿宋" w:cs="宋体"/>
                <w:kern w:val="0"/>
                <w:sz w:val="21"/>
                <w:szCs w:val="21"/>
              </w:rPr>
              <w:br w:type="textWrapping"/>
            </w:r>
            <w:r>
              <w:rPr>
                <w:rFonts w:hint="eastAsia" w:ascii="仿宋" w:hAnsi="仿宋" w:eastAsia="仿宋" w:cs="宋体"/>
                <w:kern w:val="0"/>
                <w:sz w:val="21"/>
                <w:szCs w:val="21"/>
              </w:rPr>
              <w:t>质量达标率≥100%，满分；</w:t>
            </w:r>
          </w:p>
        </w:tc>
        <w:tc>
          <w:tcPr>
            <w:tcW w:w="92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1932"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产出时效</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完成及时性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09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完成及时率=[（计划完成天数-实际完成天数）/计划完成天数]×100%。</w:t>
            </w:r>
          </w:p>
        </w:tc>
        <w:tc>
          <w:tcPr>
            <w:tcW w:w="10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项目实际完成时间与计划完成时间的比较，用以反映和考核项目产出时效目标的实现程度。</w:t>
            </w:r>
          </w:p>
        </w:tc>
        <w:tc>
          <w:tcPr>
            <w:tcW w:w="2221"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完成及时率≤-30%，得零分；-30%&lt;完成及时率&lt;0%，扣分=完成及时率*分值；完成及时率≥0%，满分；</w:t>
            </w:r>
          </w:p>
        </w:tc>
        <w:tc>
          <w:tcPr>
            <w:tcW w:w="92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932"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产出成本</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09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成本节约率=[（计划成本-实际成本）/计划成本]×100%。</w:t>
            </w:r>
          </w:p>
        </w:tc>
        <w:tc>
          <w:tcPr>
            <w:tcW w:w="10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17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完成项目计划工作目标的实际节约成本与计划成本的比率，用以反映和考核项目的成本节约程度。</w:t>
            </w:r>
          </w:p>
        </w:tc>
        <w:tc>
          <w:tcPr>
            <w:tcW w:w="2221"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成本节约率≤-10%，得零分；-10%&lt;成本节约率&lt;0%，扣分=完成及时率*分值；成本节约率≥0%，满分</w:t>
            </w:r>
          </w:p>
        </w:tc>
        <w:tc>
          <w:tcPr>
            <w:tcW w:w="92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4</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96</w:t>
            </w:r>
          </w:p>
        </w:tc>
        <w:tc>
          <w:tcPr>
            <w:tcW w:w="193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0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92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93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2"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效益　</w:t>
            </w:r>
          </w:p>
        </w:tc>
        <w:tc>
          <w:tcPr>
            <w:tcW w:w="606"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35</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项目效益　</w:t>
            </w:r>
          </w:p>
        </w:tc>
        <w:tc>
          <w:tcPr>
            <w:tcW w:w="565"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25</w:t>
            </w:r>
          </w:p>
        </w:tc>
        <w:tc>
          <w:tcPr>
            <w:tcW w:w="70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社会效益</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15</w:t>
            </w: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提高地方经济发展水平</w:t>
            </w:r>
          </w:p>
        </w:tc>
        <w:tc>
          <w:tcPr>
            <w:tcW w:w="1039"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177" w:type="dxa"/>
            <w:vMerge w:val="restart"/>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项目实施所产生的社会效益。</w:t>
            </w:r>
          </w:p>
        </w:tc>
        <w:tc>
          <w:tcPr>
            <w:tcW w:w="2221" w:type="dxa"/>
            <w:vMerge w:val="restart"/>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无法具体衡量，但提高地方经济发展水平、促进社会进步和为区委区政府决策提供建议的作用是实际存在的</w:t>
            </w:r>
          </w:p>
        </w:tc>
        <w:tc>
          <w:tcPr>
            <w:tcW w:w="921"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4</w:t>
            </w:r>
            <w:r>
              <w:rPr>
                <w:rFonts w:hint="eastAsia" w:ascii="仿宋" w:hAnsi="仿宋" w:eastAsia="仿宋" w:cs="宋体"/>
                <w:color w:val="000000"/>
                <w:kern w:val="0"/>
                <w:sz w:val="21"/>
                <w:szCs w:val="21"/>
              </w:rPr>
              <w:t>.00</w:t>
            </w:r>
          </w:p>
        </w:tc>
        <w:tc>
          <w:tcPr>
            <w:tcW w:w="1932"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促进社会进步</w:t>
            </w:r>
          </w:p>
        </w:tc>
        <w:tc>
          <w:tcPr>
            <w:tcW w:w="1039"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921"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4</w:t>
            </w:r>
            <w:r>
              <w:rPr>
                <w:rFonts w:hint="eastAsia" w:ascii="仿宋" w:hAnsi="仿宋" w:eastAsia="仿宋" w:cs="宋体"/>
                <w:color w:val="000000"/>
                <w:kern w:val="0"/>
                <w:sz w:val="21"/>
                <w:szCs w:val="21"/>
              </w:rPr>
              <w:t>.00</w:t>
            </w:r>
          </w:p>
        </w:tc>
        <w:tc>
          <w:tcPr>
            <w:tcW w:w="1932"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为区委区政府决策提供建议</w:t>
            </w:r>
          </w:p>
        </w:tc>
        <w:tc>
          <w:tcPr>
            <w:tcW w:w="1039"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17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221" w:type="dxa"/>
            <w:vMerge w:val="continue"/>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921"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4</w:t>
            </w:r>
            <w:r>
              <w:rPr>
                <w:rFonts w:hint="eastAsia" w:ascii="仿宋" w:hAnsi="仿宋" w:eastAsia="仿宋" w:cs="宋体"/>
                <w:color w:val="000000"/>
                <w:kern w:val="0"/>
                <w:sz w:val="21"/>
                <w:szCs w:val="21"/>
              </w:rPr>
              <w:t>.00</w:t>
            </w:r>
          </w:p>
        </w:tc>
        <w:tc>
          <w:tcPr>
            <w:tcW w:w="1932"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生态效益</w:t>
            </w:r>
          </w:p>
        </w:tc>
        <w:tc>
          <w:tcPr>
            <w:tcW w:w="568"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091"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项目实施对生态环境所带来的直接或间接影响情况</w:t>
            </w:r>
          </w:p>
        </w:tc>
        <w:tc>
          <w:tcPr>
            <w:tcW w:w="1039"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17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项目实施所产生的生态效益。</w:t>
            </w:r>
          </w:p>
        </w:tc>
        <w:tc>
          <w:tcPr>
            <w:tcW w:w="2221"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是否存在对环境产生负面影响，存在负面直接影响得0分，存在负面间接影响得2分，存在正面影响得5分。</w:t>
            </w:r>
          </w:p>
        </w:tc>
        <w:tc>
          <w:tcPr>
            <w:tcW w:w="921"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4</w:t>
            </w:r>
            <w:r>
              <w:rPr>
                <w:rFonts w:hint="eastAsia" w:ascii="仿宋" w:hAnsi="仿宋" w:eastAsia="仿宋" w:cs="宋体"/>
                <w:color w:val="000000"/>
                <w:kern w:val="0"/>
                <w:sz w:val="21"/>
                <w:szCs w:val="21"/>
              </w:rPr>
              <w:t>.00</w:t>
            </w:r>
          </w:p>
        </w:tc>
        <w:tc>
          <w:tcPr>
            <w:tcW w:w="1932"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可持续性影响</w:t>
            </w:r>
          </w:p>
        </w:tc>
        <w:tc>
          <w:tcPr>
            <w:tcW w:w="568"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3091"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项目后续运行及成效发挥的可持续影响情况</w:t>
            </w:r>
          </w:p>
        </w:tc>
        <w:tc>
          <w:tcPr>
            <w:tcW w:w="1039"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17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项目实施所产生的可持续性影响。</w:t>
            </w:r>
          </w:p>
        </w:tc>
        <w:tc>
          <w:tcPr>
            <w:tcW w:w="2221"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是否存在各种政策影响、居民反对或负面舆论的情况，不可持续得0分，可持续但受到当年相关影响得2分，可持续但受到往年（3年内）相关影响得3分，可持续无负面影响得5分。</w:t>
            </w:r>
          </w:p>
        </w:tc>
        <w:tc>
          <w:tcPr>
            <w:tcW w:w="921"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5</w:t>
            </w:r>
            <w:r>
              <w:rPr>
                <w:rFonts w:hint="eastAsia" w:ascii="仿宋" w:hAnsi="仿宋" w:eastAsia="仿宋" w:cs="宋体"/>
                <w:color w:val="000000"/>
                <w:kern w:val="0"/>
                <w:sz w:val="21"/>
                <w:szCs w:val="21"/>
              </w:rPr>
              <w:t>.00</w:t>
            </w:r>
          </w:p>
        </w:tc>
        <w:tc>
          <w:tcPr>
            <w:tcW w:w="1932"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606"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w:t>
            </w:r>
          </w:p>
        </w:tc>
        <w:tc>
          <w:tcPr>
            <w:tcW w:w="565"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70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w:t>
            </w:r>
          </w:p>
        </w:tc>
        <w:tc>
          <w:tcPr>
            <w:tcW w:w="568"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3091"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社会公众或服务对象对项目实施效果的满意程度。</w:t>
            </w:r>
          </w:p>
        </w:tc>
        <w:tc>
          <w:tcPr>
            <w:tcW w:w="1039"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1177"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社会公众或服务对象对项目实施效果的满意程度。</w:t>
            </w:r>
          </w:p>
        </w:tc>
        <w:tc>
          <w:tcPr>
            <w:tcW w:w="2221"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满意度≤60%，得零分；60%&lt;满意度&lt;100%；得分=满意度*分值；多角度满意度以平均值为最终满意度</w:t>
            </w:r>
          </w:p>
        </w:tc>
        <w:tc>
          <w:tcPr>
            <w:tcW w:w="92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1"/>
                <w:szCs w:val="21"/>
              </w:rPr>
              <w:t>8</w:t>
            </w:r>
            <w:r>
              <w:rPr>
                <w:rFonts w:hint="eastAsia" w:ascii="仿宋" w:hAnsi="仿宋" w:eastAsia="仿宋" w:cs="宋体"/>
                <w:color w:val="000000"/>
                <w:kern w:val="0"/>
                <w:sz w:val="21"/>
                <w:szCs w:val="21"/>
              </w:rPr>
              <w:t>.</w:t>
            </w:r>
            <w:r>
              <w:rPr>
                <w:rFonts w:ascii="仿宋" w:hAnsi="仿宋" w:eastAsia="仿宋" w:cs="宋体"/>
                <w:color w:val="000000"/>
                <w:kern w:val="0"/>
                <w:sz w:val="21"/>
                <w:szCs w:val="21"/>
              </w:rPr>
              <w:t>5</w:t>
            </w:r>
            <w:r>
              <w:rPr>
                <w:rFonts w:hint="eastAsia" w:ascii="仿宋" w:hAnsi="仿宋" w:eastAsia="仿宋" w:cs="宋体"/>
                <w:color w:val="000000"/>
                <w:kern w:val="0"/>
                <w:sz w:val="21"/>
                <w:szCs w:val="21"/>
              </w:rPr>
              <w:t>0</w:t>
            </w:r>
          </w:p>
        </w:tc>
        <w:tc>
          <w:tcPr>
            <w:tcW w:w="193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政策满意度</w:t>
            </w:r>
            <w:r>
              <w:rPr>
                <w:rFonts w:ascii="仿宋" w:hAnsi="仿宋" w:eastAsia="仿宋" w:cs="宋体"/>
                <w:color w:val="000000"/>
                <w:kern w:val="0"/>
                <w:sz w:val="21"/>
                <w:szCs w:val="21"/>
              </w:rPr>
              <w:t>9</w:t>
            </w:r>
            <w:r>
              <w:rPr>
                <w:rFonts w:hint="eastAsia" w:ascii="仿宋" w:hAnsi="仿宋" w:eastAsia="仿宋" w:cs="宋体"/>
                <w:color w:val="000000"/>
                <w:kern w:val="0"/>
                <w:sz w:val="21"/>
                <w:szCs w:val="21"/>
              </w:rPr>
              <w:t>0%，工作满意度80%，综合满意度</w:t>
            </w:r>
            <w:r>
              <w:rPr>
                <w:rFonts w:ascii="仿宋" w:hAnsi="仿宋" w:eastAsia="仿宋" w:cs="宋体"/>
                <w:color w:val="000000"/>
                <w:kern w:val="0"/>
                <w:sz w:val="21"/>
                <w:szCs w:val="21"/>
              </w:rPr>
              <w:t>85</w:t>
            </w:r>
            <w:r>
              <w:rPr>
                <w:rFonts w:hint="eastAsia" w:ascii="仿宋" w:hAnsi="仿宋" w:eastAsia="仿宋"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合计</w:t>
            </w:r>
          </w:p>
        </w:tc>
        <w:tc>
          <w:tcPr>
            <w:tcW w:w="606"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09"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565" w:type="dxa"/>
            <w:shd w:val="clear" w:color="auto" w:fill="auto"/>
            <w:vAlign w:val="center"/>
          </w:tcPr>
          <w:p>
            <w:pPr>
              <w:widowControl/>
              <w:adjustRightInd w:val="0"/>
              <w:snapToGrid w:val="0"/>
              <w:spacing w:line="240" w:lineRule="atLeast"/>
              <w:jc w:val="right"/>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09"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568"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3091"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039"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100.00</w:t>
            </w:r>
          </w:p>
        </w:tc>
        <w:tc>
          <w:tcPr>
            <w:tcW w:w="117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2221"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921"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ascii="仿宋" w:hAnsi="仿宋" w:eastAsia="仿宋" w:cs="宋体"/>
                <w:color w:val="000000"/>
                <w:kern w:val="0"/>
                <w:sz w:val="20"/>
                <w:szCs w:val="21"/>
              </w:rPr>
              <w:t>8</w:t>
            </w:r>
            <w:r>
              <w:rPr>
                <w:rFonts w:hint="eastAsia" w:ascii="仿宋" w:hAnsi="仿宋" w:eastAsia="仿宋" w:cs="宋体"/>
                <w:color w:val="000000"/>
                <w:kern w:val="0"/>
                <w:sz w:val="20"/>
                <w:szCs w:val="21"/>
              </w:rPr>
              <w:t>6.4</w:t>
            </w:r>
            <w:r>
              <w:rPr>
                <w:rFonts w:ascii="仿宋" w:hAnsi="仿宋" w:eastAsia="仿宋" w:cs="宋体"/>
                <w:color w:val="000000"/>
                <w:kern w:val="0"/>
                <w:sz w:val="20"/>
                <w:szCs w:val="21"/>
              </w:rPr>
              <w:t>6</w:t>
            </w:r>
          </w:p>
        </w:tc>
        <w:tc>
          <w:tcPr>
            <w:tcW w:w="1932"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bl>
    <w:p>
      <w:pPr>
        <w:pageBreakBefore/>
        <w:rPr>
          <w:sz w:val="28"/>
          <w:szCs w:val="28"/>
        </w:rPr>
      </w:pPr>
      <w:r>
        <w:rPr>
          <w:rFonts w:hint="eastAsia"/>
        </w:rPr>
        <w:t>附件2：</w:t>
      </w:r>
      <w:r>
        <w:rPr>
          <w:rFonts w:hint="eastAsia"/>
          <w:sz w:val="28"/>
          <w:szCs w:val="28"/>
        </w:rPr>
        <w:t>北碚区20</w:t>
      </w:r>
      <w:r>
        <w:rPr>
          <w:sz w:val="28"/>
          <w:szCs w:val="28"/>
        </w:rPr>
        <w:t>19</w:t>
      </w:r>
      <w:r>
        <w:rPr>
          <w:rFonts w:hint="eastAsia"/>
          <w:sz w:val="28"/>
          <w:szCs w:val="28"/>
        </w:rPr>
        <w:t>年度发展规划业务项目绩效评价问卷调查表</w:t>
      </w:r>
    </w:p>
    <w:tbl>
      <w:tblPr>
        <w:tblStyle w:val="13"/>
        <w:tblW w:w="14174" w:type="dxa"/>
        <w:tblInd w:w="0" w:type="dxa"/>
        <w:tblLayout w:type="fixed"/>
        <w:tblCellMar>
          <w:top w:w="0" w:type="dxa"/>
          <w:left w:w="108" w:type="dxa"/>
          <w:bottom w:w="0" w:type="dxa"/>
          <w:right w:w="108" w:type="dxa"/>
        </w:tblCellMar>
      </w:tblPr>
      <w:tblGrid>
        <w:gridCol w:w="1434"/>
        <w:gridCol w:w="3983"/>
        <w:gridCol w:w="8757"/>
      </w:tblGrid>
      <w:tr>
        <w:tblPrEx>
          <w:tblCellMar>
            <w:top w:w="0" w:type="dxa"/>
            <w:left w:w="108" w:type="dxa"/>
            <w:bottom w:w="0" w:type="dxa"/>
            <w:right w:w="108" w:type="dxa"/>
          </w:tblCellMar>
        </w:tblPrEx>
        <w:trPr>
          <w:trHeight w:val="799" w:hRule="atLeast"/>
        </w:trPr>
        <w:tc>
          <w:tcPr>
            <w:tcW w:w="5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项目名称</w:t>
            </w:r>
          </w:p>
        </w:tc>
        <w:tc>
          <w:tcPr>
            <w:tcW w:w="8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北碚区2019年度发展规划业务项目</w:t>
            </w:r>
          </w:p>
        </w:tc>
      </w:tr>
      <w:tr>
        <w:tblPrEx>
          <w:tblCellMar>
            <w:top w:w="0" w:type="dxa"/>
            <w:left w:w="108" w:type="dxa"/>
            <w:bottom w:w="0" w:type="dxa"/>
            <w:right w:w="108" w:type="dxa"/>
          </w:tblCellMar>
        </w:tblPrEx>
        <w:trPr>
          <w:trHeight w:val="1035" w:hRule="atLeast"/>
        </w:trPr>
        <w:tc>
          <w:tcPr>
            <w:tcW w:w="5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完成问卷人</w:t>
            </w:r>
          </w:p>
        </w:tc>
        <w:tc>
          <w:tcPr>
            <w:tcW w:w="8757" w:type="dxa"/>
            <w:tcBorders>
              <w:top w:val="nil"/>
              <w:left w:val="nil"/>
              <w:bottom w:val="single" w:color="auto" w:sz="4" w:space="0"/>
              <w:right w:val="single" w:color="auto" w:sz="4" w:space="0"/>
            </w:tcBorders>
            <w:shd w:val="clear" w:color="auto" w:fill="auto"/>
            <w:vAlign w:val="center"/>
          </w:tcPr>
          <w:p>
            <w:pPr>
              <w:widowControl/>
              <w:ind w:firstLine="630" w:firstLineChars="30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姓名：                    联系电话：</w:t>
            </w:r>
          </w:p>
        </w:tc>
      </w:tr>
      <w:tr>
        <w:tblPrEx>
          <w:tblCellMar>
            <w:top w:w="0" w:type="dxa"/>
            <w:left w:w="108" w:type="dxa"/>
            <w:bottom w:w="0" w:type="dxa"/>
            <w:right w:w="108" w:type="dxa"/>
          </w:tblCellMar>
        </w:tblPrEx>
        <w:trPr>
          <w:trHeight w:val="1365"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对发展规划业务项目政策是否满意</w:t>
            </w:r>
          </w:p>
        </w:tc>
        <w:tc>
          <w:tcPr>
            <w:tcW w:w="87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○非常满意    ○比较满意    ○一般    ○比较不满意   ○非常不满意</w:t>
            </w:r>
          </w:p>
        </w:tc>
      </w:tr>
      <w:tr>
        <w:tblPrEx>
          <w:tblCellMar>
            <w:top w:w="0" w:type="dxa"/>
            <w:left w:w="108" w:type="dxa"/>
            <w:bottom w:w="0" w:type="dxa"/>
            <w:right w:w="108" w:type="dxa"/>
          </w:tblCellMar>
        </w:tblPrEx>
        <w:trPr>
          <w:trHeight w:val="1365"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398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对发展规划业务项目实施效果是否满意</w:t>
            </w:r>
          </w:p>
        </w:tc>
        <w:tc>
          <w:tcPr>
            <w:tcW w:w="875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○非常满意    ○比较满意    ○一般    ○比较不满意   ○非常不满意</w:t>
            </w:r>
          </w:p>
        </w:tc>
      </w:tr>
      <w:tr>
        <w:tblPrEx>
          <w:tblCellMar>
            <w:top w:w="0" w:type="dxa"/>
            <w:left w:w="108" w:type="dxa"/>
            <w:bottom w:w="0" w:type="dxa"/>
            <w:right w:w="108" w:type="dxa"/>
          </w:tblCellMar>
        </w:tblPrEx>
        <w:trPr>
          <w:trHeight w:val="1185" w:hRule="atLeast"/>
        </w:trPr>
        <w:tc>
          <w:tcPr>
            <w:tcW w:w="14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3．其他意见及建议</w:t>
            </w:r>
          </w:p>
        </w:tc>
        <w:tc>
          <w:tcPr>
            <w:tcW w:w="1274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bl>
    <w:p>
      <w:pPr>
        <w:sectPr>
          <w:pgSz w:w="16838" w:h="11906" w:orient="landscape"/>
          <w:pgMar w:top="1797" w:right="1440" w:bottom="1797" w:left="1440" w:header="851" w:footer="992" w:gutter="0"/>
          <w:cols w:space="425"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posOffset>2331085</wp:posOffset>
              </wp:positionH>
              <wp:positionV relativeFrom="paragraph">
                <wp:posOffset>152400</wp:posOffset>
              </wp:positionV>
              <wp:extent cx="974725" cy="147955"/>
              <wp:effectExtent l="0" t="0" r="15875" b="4445"/>
              <wp:wrapNone/>
              <wp:docPr id="61"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8"/>
                            <w:rPr>
                              <w:rFonts w:eastAsia="仿宋_GB2312"/>
                            </w:rPr>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23页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183.55pt;margin-top:12pt;height:11.65pt;width:76.75pt;mso-position-horizontal-relative:margin;mso-wrap-style:none;z-index:251660288;mso-width-relative:page;mso-height-relative:page;" filled="f" stroked="f" coordsize="21600,21600" o:gfxdata="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5JI39cAAAAJAQAADwAAAAAAAAABACAAAAAiAAAAZHJzL2Rvd25yZXYu&#10;eG1sUEsBAhQAFAAAAAgAh07iQNwi8MP8AQAAAgQAAA4AAAAAAAAAAQAgAAAAJgEAAGRycy9lMm9E&#10;b2MueG1sUEsFBgAAAAAGAAYAWQEAAJQFAAAAAA==&#10;">
              <v:fill on="f" focussize="0,0"/>
              <v:stroke on="f"/>
              <v:imagedata o:title=""/>
              <o:lock v:ext="edit" aspectratio="f"/>
              <v:textbox inset="0mm,0mm,0mm,0mm" style="mso-fit-shape-to-text:t;">
                <w:txbxContent>
                  <w:p>
                    <w:pPr>
                      <w:pStyle w:val="8"/>
                      <w:rPr>
                        <w:rFonts w:eastAsia="仿宋_GB2312"/>
                      </w:rPr>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23页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r>
      <w:pict>
        <v:shape id="PowerPlusWaterMarkObject5499052" o:spid="_x0000_s2053" o:spt="136" type="#_x0000_t136" style="position:absolute;left:0pt;height:97.55pt;width:487.9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仿宋_GB2312;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5499051" o:spid="_x0000_s2052" o:spt="136" type="#_x0000_t136" style="position:absolute;left:0pt;height:97.55pt;width:487.9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仿宋_GB2312;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5499050" o:spid="_x0000_s2051" o:spt="136" type="#_x0000_t136" style="position:absolute;left:0pt;height:97.55pt;width:487.9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征求意见稿" style="font-family:仿宋_GB2312;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73B7A"/>
    <w:multiLevelType w:val="multilevel"/>
    <w:tmpl w:val="1D573B7A"/>
    <w:lvl w:ilvl="0" w:tentative="0">
      <w:start w:val="6"/>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33325209"/>
    <w:multiLevelType w:val="multilevel"/>
    <w:tmpl w:val="3332520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0"/>
  <w:drawingGridVerticalSpacing w:val="204"/>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0F"/>
    <w:rsid w:val="00001F66"/>
    <w:rsid w:val="00011B55"/>
    <w:rsid w:val="00016EF1"/>
    <w:rsid w:val="0002604C"/>
    <w:rsid w:val="00031BA0"/>
    <w:rsid w:val="00033D80"/>
    <w:rsid w:val="000359AD"/>
    <w:rsid w:val="00044694"/>
    <w:rsid w:val="000468D9"/>
    <w:rsid w:val="000515BE"/>
    <w:rsid w:val="00052F0D"/>
    <w:rsid w:val="000643D1"/>
    <w:rsid w:val="000735D4"/>
    <w:rsid w:val="00077B0B"/>
    <w:rsid w:val="00086316"/>
    <w:rsid w:val="0008768C"/>
    <w:rsid w:val="00094165"/>
    <w:rsid w:val="000B1842"/>
    <w:rsid w:val="000C21D9"/>
    <w:rsid w:val="000D1A46"/>
    <w:rsid w:val="000D42C9"/>
    <w:rsid w:val="000D56BB"/>
    <w:rsid w:val="000F6A5D"/>
    <w:rsid w:val="0011094F"/>
    <w:rsid w:val="00122335"/>
    <w:rsid w:val="00122E04"/>
    <w:rsid w:val="0012644D"/>
    <w:rsid w:val="00131F46"/>
    <w:rsid w:val="00131F6B"/>
    <w:rsid w:val="00133722"/>
    <w:rsid w:val="00144F5A"/>
    <w:rsid w:val="00154EB8"/>
    <w:rsid w:val="001710A3"/>
    <w:rsid w:val="00174BB4"/>
    <w:rsid w:val="00174DD6"/>
    <w:rsid w:val="00177449"/>
    <w:rsid w:val="00182091"/>
    <w:rsid w:val="001908B7"/>
    <w:rsid w:val="0019332F"/>
    <w:rsid w:val="00195436"/>
    <w:rsid w:val="00197563"/>
    <w:rsid w:val="001A2EE7"/>
    <w:rsid w:val="001B3D48"/>
    <w:rsid w:val="001D169E"/>
    <w:rsid w:val="001E04D4"/>
    <w:rsid w:val="001E0A1F"/>
    <w:rsid w:val="001E747E"/>
    <w:rsid w:val="00204665"/>
    <w:rsid w:val="00213343"/>
    <w:rsid w:val="00215BB8"/>
    <w:rsid w:val="002249B8"/>
    <w:rsid w:val="00237F12"/>
    <w:rsid w:val="00242388"/>
    <w:rsid w:val="00247790"/>
    <w:rsid w:val="002505AA"/>
    <w:rsid w:val="00265B0F"/>
    <w:rsid w:val="00271D3E"/>
    <w:rsid w:val="00284B37"/>
    <w:rsid w:val="00293D29"/>
    <w:rsid w:val="0029797A"/>
    <w:rsid w:val="002A020F"/>
    <w:rsid w:val="002A0FB0"/>
    <w:rsid w:val="002A1028"/>
    <w:rsid w:val="002A1849"/>
    <w:rsid w:val="002A4CEE"/>
    <w:rsid w:val="002B3013"/>
    <w:rsid w:val="002D1741"/>
    <w:rsid w:val="002F2693"/>
    <w:rsid w:val="002F7420"/>
    <w:rsid w:val="0030441F"/>
    <w:rsid w:val="00307A7A"/>
    <w:rsid w:val="003129E5"/>
    <w:rsid w:val="00322C32"/>
    <w:rsid w:val="003571E3"/>
    <w:rsid w:val="003614AB"/>
    <w:rsid w:val="00362744"/>
    <w:rsid w:val="003632E6"/>
    <w:rsid w:val="0037424E"/>
    <w:rsid w:val="0037435F"/>
    <w:rsid w:val="00377136"/>
    <w:rsid w:val="00385AEB"/>
    <w:rsid w:val="0039283E"/>
    <w:rsid w:val="00393FE6"/>
    <w:rsid w:val="00394FB9"/>
    <w:rsid w:val="00395D6F"/>
    <w:rsid w:val="003965DE"/>
    <w:rsid w:val="003A2602"/>
    <w:rsid w:val="003A2D27"/>
    <w:rsid w:val="003A2E03"/>
    <w:rsid w:val="003A762E"/>
    <w:rsid w:val="003B55C7"/>
    <w:rsid w:val="003C42C5"/>
    <w:rsid w:val="003D68F6"/>
    <w:rsid w:val="004028EC"/>
    <w:rsid w:val="004231C7"/>
    <w:rsid w:val="00424097"/>
    <w:rsid w:val="00426949"/>
    <w:rsid w:val="004507B5"/>
    <w:rsid w:val="004508E9"/>
    <w:rsid w:val="00457CE3"/>
    <w:rsid w:val="00471905"/>
    <w:rsid w:val="00474E76"/>
    <w:rsid w:val="0048367E"/>
    <w:rsid w:val="00490015"/>
    <w:rsid w:val="00491007"/>
    <w:rsid w:val="0049343F"/>
    <w:rsid w:val="004B0C30"/>
    <w:rsid w:val="004B5C07"/>
    <w:rsid w:val="004B6FD7"/>
    <w:rsid w:val="004C4A3E"/>
    <w:rsid w:val="004E50DC"/>
    <w:rsid w:val="004F00AA"/>
    <w:rsid w:val="004F373F"/>
    <w:rsid w:val="0050687E"/>
    <w:rsid w:val="0052217B"/>
    <w:rsid w:val="005233A1"/>
    <w:rsid w:val="00523C12"/>
    <w:rsid w:val="0053796A"/>
    <w:rsid w:val="00553C69"/>
    <w:rsid w:val="005649F5"/>
    <w:rsid w:val="00565D51"/>
    <w:rsid w:val="00576E14"/>
    <w:rsid w:val="0057748F"/>
    <w:rsid w:val="00580C00"/>
    <w:rsid w:val="00584636"/>
    <w:rsid w:val="005956CF"/>
    <w:rsid w:val="005B02D0"/>
    <w:rsid w:val="005B7F08"/>
    <w:rsid w:val="005C7D17"/>
    <w:rsid w:val="005D1F70"/>
    <w:rsid w:val="005D3240"/>
    <w:rsid w:val="005E2771"/>
    <w:rsid w:val="005E6848"/>
    <w:rsid w:val="005F16E8"/>
    <w:rsid w:val="00607F66"/>
    <w:rsid w:val="00655182"/>
    <w:rsid w:val="00664F51"/>
    <w:rsid w:val="00667BD4"/>
    <w:rsid w:val="00667D25"/>
    <w:rsid w:val="00674D71"/>
    <w:rsid w:val="00677CA5"/>
    <w:rsid w:val="00683BD7"/>
    <w:rsid w:val="00685AD2"/>
    <w:rsid w:val="00690408"/>
    <w:rsid w:val="006951F2"/>
    <w:rsid w:val="00696F3A"/>
    <w:rsid w:val="006A23A3"/>
    <w:rsid w:val="006A3AE9"/>
    <w:rsid w:val="006B2472"/>
    <w:rsid w:val="006B2B5D"/>
    <w:rsid w:val="006B46CF"/>
    <w:rsid w:val="006C2D99"/>
    <w:rsid w:val="006D235B"/>
    <w:rsid w:val="006F6450"/>
    <w:rsid w:val="006F7FE4"/>
    <w:rsid w:val="00700746"/>
    <w:rsid w:val="00701C52"/>
    <w:rsid w:val="007052A3"/>
    <w:rsid w:val="00705AB5"/>
    <w:rsid w:val="00714F5D"/>
    <w:rsid w:val="00715E71"/>
    <w:rsid w:val="007300B8"/>
    <w:rsid w:val="007349F8"/>
    <w:rsid w:val="00742D14"/>
    <w:rsid w:val="00746CA0"/>
    <w:rsid w:val="00753842"/>
    <w:rsid w:val="00756E12"/>
    <w:rsid w:val="0076550D"/>
    <w:rsid w:val="00767138"/>
    <w:rsid w:val="00773DB8"/>
    <w:rsid w:val="007877AB"/>
    <w:rsid w:val="007A6942"/>
    <w:rsid w:val="007B79F5"/>
    <w:rsid w:val="007C01F2"/>
    <w:rsid w:val="007C1803"/>
    <w:rsid w:val="007C4040"/>
    <w:rsid w:val="007D02CD"/>
    <w:rsid w:val="007D209C"/>
    <w:rsid w:val="008032A2"/>
    <w:rsid w:val="00804832"/>
    <w:rsid w:val="008077A8"/>
    <w:rsid w:val="0081750E"/>
    <w:rsid w:val="00820F05"/>
    <w:rsid w:val="00821FEE"/>
    <w:rsid w:val="00824F34"/>
    <w:rsid w:val="008277A7"/>
    <w:rsid w:val="0083026C"/>
    <w:rsid w:val="00831E49"/>
    <w:rsid w:val="00857A05"/>
    <w:rsid w:val="008627C8"/>
    <w:rsid w:val="008652FC"/>
    <w:rsid w:val="0087262C"/>
    <w:rsid w:val="008903E6"/>
    <w:rsid w:val="0089238A"/>
    <w:rsid w:val="00892706"/>
    <w:rsid w:val="00892752"/>
    <w:rsid w:val="0089698B"/>
    <w:rsid w:val="008A00D7"/>
    <w:rsid w:val="008A2F23"/>
    <w:rsid w:val="008A6C55"/>
    <w:rsid w:val="008A77A2"/>
    <w:rsid w:val="008B047A"/>
    <w:rsid w:val="008B0D7F"/>
    <w:rsid w:val="008B2237"/>
    <w:rsid w:val="008B79CD"/>
    <w:rsid w:val="008C3A78"/>
    <w:rsid w:val="008E0195"/>
    <w:rsid w:val="008E4CD0"/>
    <w:rsid w:val="008E7EEF"/>
    <w:rsid w:val="008F2ACC"/>
    <w:rsid w:val="008F5B44"/>
    <w:rsid w:val="00917C63"/>
    <w:rsid w:val="00921377"/>
    <w:rsid w:val="00921811"/>
    <w:rsid w:val="0092551D"/>
    <w:rsid w:val="00940066"/>
    <w:rsid w:val="009472B3"/>
    <w:rsid w:val="00963BAB"/>
    <w:rsid w:val="00967E87"/>
    <w:rsid w:val="009700D5"/>
    <w:rsid w:val="00993292"/>
    <w:rsid w:val="00994FAE"/>
    <w:rsid w:val="0099719F"/>
    <w:rsid w:val="009A24CD"/>
    <w:rsid w:val="009A349C"/>
    <w:rsid w:val="009A79B4"/>
    <w:rsid w:val="009A7D2C"/>
    <w:rsid w:val="009B50F6"/>
    <w:rsid w:val="009B5D80"/>
    <w:rsid w:val="009B6C8E"/>
    <w:rsid w:val="009C3E96"/>
    <w:rsid w:val="009D12C3"/>
    <w:rsid w:val="009D5CAC"/>
    <w:rsid w:val="009D6DD2"/>
    <w:rsid w:val="009E1936"/>
    <w:rsid w:val="009F3D57"/>
    <w:rsid w:val="009F73AE"/>
    <w:rsid w:val="00A04DB4"/>
    <w:rsid w:val="00A07A11"/>
    <w:rsid w:val="00A200EA"/>
    <w:rsid w:val="00A233F3"/>
    <w:rsid w:val="00A260E3"/>
    <w:rsid w:val="00A2736F"/>
    <w:rsid w:val="00A300CE"/>
    <w:rsid w:val="00A34F2A"/>
    <w:rsid w:val="00A35A86"/>
    <w:rsid w:val="00A4377B"/>
    <w:rsid w:val="00A4630A"/>
    <w:rsid w:val="00A72221"/>
    <w:rsid w:val="00A76DEA"/>
    <w:rsid w:val="00A83612"/>
    <w:rsid w:val="00A843F8"/>
    <w:rsid w:val="00A85953"/>
    <w:rsid w:val="00A93D87"/>
    <w:rsid w:val="00A941A2"/>
    <w:rsid w:val="00A97320"/>
    <w:rsid w:val="00AA0E65"/>
    <w:rsid w:val="00AA2AC1"/>
    <w:rsid w:val="00AD33FB"/>
    <w:rsid w:val="00AE02A6"/>
    <w:rsid w:val="00AE0DA5"/>
    <w:rsid w:val="00AE2393"/>
    <w:rsid w:val="00AE7E36"/>
    <w:rsid w:val="00AF3524"/>
    <w:rsid w:val="00B00C6D"/>
    <w:rsid w:val="00B15AAB"/>
    <w:rsid w:val="00B17F0F"/>
    <w:rsid w:val="00B204C3"/>
    <w:rsid w:val="00B24782"/>
    <w:rsid w:val="00B266CF"/>
    <w:rsid w:val="00B33287"/>
    <w:rsid w:val="00B40D58"/>
    <w:rsid w:val="00B4498E"/>
    <w:rsid w:val="00B4551D"/>
    <w:rsid w:val="00B53E73"/>
    <w:rsid w:val="00B5708D"/>
    <w:rsid w:val="00B76CC9"/>
    <w:rsid w:val="00B80769"/>
    <w:rsid w:val="00B84D43"/>
    <w:rsid w:val="00B8552B"/>
    <w:rsid w:val="00B929A0"/>
    <w:rsid w:val="00BA216C"/>
    <w:rsid w:val="00BA50DC"/>
    <w:rsid w:val="00BC3C9B"/>
    <w:rsid w:val="00BD1D4F"/>
    <w:rsid w:val="00BD23CC"/>
    <w:rsid w:val="00BD6B14"/>
    <w:rsid w:val="00BE1483"/>
    <w:rsid w:val="00BE19C3"/>
    <w:rsid w:val="00BE26F8"/>
    <w:rsid w:val="00BF031B"/>
    <w:rsid w:val="00BF13BE"/>
    <w:rsid w:val="00BF53F3"/>
    <w:rsid w:val="00C05A31"/>
    <w:rsid w:val="00C13F85"/>
    <w:rsid w:val="00C17D65"/>
    <w:rsid w:val="00C22D5D"/>
    <w:rsid w:val="00C42EEE"/>
    <w:rsid w:val="00C431ED"/>
    <w:rsid w:val="00C44C4C"/>
    <w:rsid w:val="00C46C42"/>
    <w:rsid w:val="00C53080"/>
    <w:rsid w:val="00C62C0E"/>
    <w:rsid w:val="00C7049F"/>
    <w:rsid w:val="00C75B9E"/>
    <w:rsid w:val="00C808B0"/>
    <w:rsid w:val="00C906AE"/>
    <w:rsid w:val="00CA79D9"/>
    <w:rsid w:val="00CB4084"/>
    <w:rsid w:val="00CC7D32"/>
    <w:rsid w:val="00CD29C5"/>
    <w:rsid w:val="00CE375E"/>
    <w:rsid w:val="00CE5281"/>
    <w:rsid w:val="00D00BB6"/>
    <w:rsid w:val="00D00C8E"/>
    <w:rsid w:val="00D05724"/>
    <w:rsid w:val="00D117EA"/>
    <w:rsid w:val="00D2040E"/>
    <w:rsid w:val="00D323D6"/>
    <w:rsid w:val="00D41898"/>
    <w:rsid w:val="00D5018B"/>
    <w:rsid w:val="00D638BE"/>
    <w:rsid w:val="00D7250F"/>
    <w:rsid w:val="00D73AB2"/>
    <w:rsid w:val="00D74026"/>
    <w:rsid w:val="00D76867"/>
    <w:rsid w:val="00D872B2"/>
    <w:rsid w:val="00D94E1A"/>
    <w:rsid w:val="00D954E7"/>
    <w:rsid w:val="00DB104B"/>
    <w:rsid w:val="00DD2178"/>
    <w:rsid w:val="00DD2A6A"/>
    <w:rsid w:val="00DE093E"/>
    <w:rsid w:val="00DE295E"/>
    <w:rsid w:val="00DE4E47"/>
    <w:rsid w:val="00DE6E84"/>
    <w:rsid w:val="00DE6FE5"/>
    <w:rsid w:val="00E0368B"/>
    <w:rsid w:val="00E203D3"/>
    <w:rsid w:val="00E20F62"/>
    <w:rsid w:val="00E33F4A"/>
    <w:rsid w:val="00E3402B"/>
    <w:rsid w:val="00E35670"/>
    <w:rsid w:val="00E403AD"/>
    <w:rsid w:val="00E41DE9"/>
    <w:rsid w:val="00E471EB"/>
    <w:rsid w:val="00E5242D"/>
    <w:rsid w:val="00E57606"/>
    <w:rsid w:val="00E65E35"/>
    <w:rsid w:val="00E71008"/>
    <w:rsid w:val="00E74CCB"/>
    <w:rsid w:val="00E74E23"/>
    <w:rsid w:val="00E777D7"/>
    <w:rsid w:val="00E91E06"/>
    <w:rsid w:val="00EA06B5"/>
    <w:rsid w:val="00EB6A8C"/>
    <w:rsid w:val="00EC247E"/>
    <w:rsid w:val="00ED1949"/>
    <w:rsid w:val="00ED3C63"/>
    <w:rsid w:val="00ED4630"/>
    <w:rsid w:val="00ED70A4"/>
    <w:rsid w:val="00EE3F7B"/>
    <w:rsid w:val="00F03A46"/>
    <w:rsid w:val="00F0661B"/>
    <w:rsid w:val="00F206B0"/>
    <w:rsid w:val="00F20972"/>
    <w:rsid w:val="00F2216B"/>
    <w:rsid w:val="00F23FF2"/>
    <w:rsid w:val="00F334B7"/>
    <w:rsid w:val="00F37770"/>
    <w:rsid w:val="00F41F9C"/>
    <w:rsid w:val="00F63D54"/>
    <w:rsid w:val="00F642AC"/>
    <w:rsid w:val="00F65E85"/>
    <w:rsid w:val="00F72D91"/>
    <w:rsid w:val="00F750D3"/>
    <w:rsid w:val="00F857B5"/>
    <w:rsid w:val="00F86BF8"/>
    <w:rsid w:val="00FB3887"/>
    <w:rsid w:val="00FC2866"/>
    <w:rsid w:val="00FC4A85"/>
    <w:rsid w:val="00FC51AB"/>
    <w:rsid w:val="00FE7133"/>
    <w:rsid w:val="00FF264E"/>
    <w:rsid w:val="01915CF8"/>
    <w:rsid w:val="04713313"/>
    <w:rsid w:val="053036F4"/>
    <w:rsid w:val="05452655"/>
    <w:rsid w:val="081D2BF5"/>
    <w:rsid w:val="086B16B2"/>
    <w:rsid w:val="0C0C6E59"/>
    <w:rsid w:val="0CB14802"/>
    <w:rsid w:val="0D123239"/>
    <w:rsid w:val="0D8A5C98"/>
    <w:rsid w:val="0DD9756A"/>
    <w:rsid w:val="0F3C250F"/>
    <w:rsid w:val="0F83177F"/>
    <w:rsid w:val="11741394"/>
    <w:rsid w:val="11A831B7"/>
    <w:rsid w:val="14D02200"/>
    <w:rsid w:val="16180C1E"/>
    <w:rsid w:val="19D8309C"/>
    <w:rsid w:val="1D0E588D"/>
    <w:rsid w:val="1D580522"/>
    <w:rsid w:val="1D5E39ED"/>
    <w:rsid w:val="1DD1110C"/>
    <w:rsid w:val="24BE3155"/>
    <w:rsid w:val="25243962"/>
    <w:rsid w:val="25427C96"/>
    <w:rsid w:val="25502DA1"/>
    <w:rsid w:val="28EC30E0"/>
    <w:rsid w:val="295859B3"/>
    <w:rsid w:val="2B981FA0"/>
    <w:rsid w:val="2CB54D9F"/>
    <w:rsid w:val="2E196972"/>
    <w:rsid w:val="2E9A78C1"/>
    <w:rsid w:val="30521F9D"/>
    <w:rsid w:val="316B2E57"/>
    <w:rsid w:val="31DF2BD7"/>
    <w:rsid w:val="32C77909"/>
    <w:rsid w:val="335745F9"/>
    <w:rsid w:val="39346445"/>
    <w:rsid w:val="39BC1369"/>
    <w:rsid w:val="3AA20C94"/>
    <w:rsid w:val="3AA7542D"/>
    <w:rsid w:val="3B1A2ADB"/>
    <w:rsid w:val="3B794E1B"/>
    <w:rsid w:val="3BF8220D"/>
    <w:rsid w:val="3C992B68"/>
    <w:rsid w:val="3D752F6D"/>
    <w:rsid w:val="3E8F0265"/>
    <w:rsid w:val="3FF151A3"/>
    <w:rsid w:val="41B208CA"/>
    <w:rsid w:val="42B5673B"/>
    <w:rsid w:val="42EB6EBA"/>
    <w:rsid w:val="449F6E6D"/>
    <w:rsid w:val="44B841D1"/>
    <w:rsid w:val="44F0781D"/>
    <w:rsid w:val="46694622"/>
    <w:rsid w:val="46D83D07"/>
    <w:rsid w:val="47745905"/>
    <w:rsid w:val="4AB878A9"/>
    <w:rsid w:val="4C113477"/>
    <w:rsid w:val="4CE70C07"/>
    <w:rsid w:val="50443532"/>
    <w:rsid w:val="50C62386"/>
    <w:rsid w:val="52EE052B"/>
    <w:rsid w:val="53AC4158"/>
    <w:rsid w:val="54F02836"/>
    <w:rsid w:val="550D7018"/>
    <w:rsid w:val="566926B7"/>
    <w:rsid w:val="566D43DB"/>
    <w:rsid w:val="56885569"/>
    <w:rsid w:val="5713163D"/>
    <w:rsid w:val="575F49B0"/>
    <w:rsid w:val="57765AB7"/>
    <w:rsid w:val="57BA34BA"/>
    <w:rsid w:val="58CF6E9C"/>
    <w:rsid w:val="59481F15"/>
    <w:rsid w:val="5A7B0E94"/>
    <w:rsid w:val="5AAD5F2B"/>
    <w:rsid w:val="5BAB7E18"/>
    <w:rsid w:val="5F2B603E"/>
    <w:rsid w:val="602406F9"/>
    <w:rsid w:val="62081B8C"/>
    <w:rsid w:val="637F5E31"/>
    <w:rsid w:val="643978E3"/>
    <w:rsid w:val="64E73072"/>
    <w:rsid w:val="659920CC"/>
    <w:rsid w:val="65F67A99"/>
    <w:rsid w:val="686656BB"/>
    <w:rsid w:val="6A992699"/>
    <w:rsid w:val="6BB86AF0"/>
    <w:rsid w:val="6C512D05"/>
    <w:rsid w:val="6D410D3A"/>
    <w:rsid w:val="6F1C3A5B"/>
    <w:rsid w:val="6F9765C6"/>
    <w:rsid w:val="70A73A4C"/>
    <w:rsid w:val="70F55827"/>
    <w:rsid w:val="716B0ED8"/>
    <w:rsid w:val="71DB2B7E"/>
    <w:rsid w:val="72CA0311"/>
    <w:rsid w:val="75525E68"/>
    <w:rsid w:val="75B160C5"/>
    <w:rsid w:val="75DD4531"/>
    <w:rsid w:val="77E17941"/>
    <w:rsid w:val="786D463D"/>
    <w:rsid w:val="796A7D44"/>
    <w:rsid w:val="798B6CF9"/>
    <w:rsid w:val="79BB36FE"/>
    <w:rsid w:val="7BA0735F"/>
    <w:rsid w:val="7D1D385D"/>
    <w:rsid w:val="7DCD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Document Map"/>
    <w:basedOn w:val="1"/>
    <w:link w:val="26"/>
    <w:semiHidden/>
    <w:unhideWhenUsed/>
    <w:qFormat/>
    <w:uiPriority w:val="99"/>
    <w:rPr>
      <w:rFonts w:ascii="宋体" w:eastAsia="宋体"/>
      <w:sz w:val="18"/>
      <w:szCs w:val="18"/>
    </w:rPr>
  </w:style>
  <w:style w:type="paragraph" w:styleId="4">
    <w:name w:val="annotation text"/>
    <w:basedOn w:val="1"/>
    <w:link w:val="21"/>
    <w:semiHidden/>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Date"/>
    <w:basedOn w:val="1"/>
    <w:next w:val="1"/>
    <w:link w:val="20"/>
    <w:unhideWhenUsed/>
    <w:qFormat/>
    <w:uiPriority w:val="99"/>
    <w:pPr>
      <w:ind w:left="100" w:leftChars="2500"/>
    </w:pPr>
  </w:style>
  <w:style w:type="paragraph" w:styleId="7">
    <w:name w:val="Balloon Text"/>
    <w:basedOn w:val="1"/>
    <w:link w:val="23"/>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4"/>
    <w:next w:val="4"/>
    <w:link w:val="22"/>
    <w:semiHidden/>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9"/>
    <w:semiHidden/>
    <w:qFormat/>
    <w:uiPriority w:val="99"/>
    <w:rPr>
      <w:sz w:val="18"/>
      <w:szCs w:val="18"/>
    </w:rPr>
  </w:style>
  <w:style w:type="character" w:customStyle="1" w:styleId="18">
    <w:name w:val="页脚 Char"/>
    <w:basedOn w:val="15"/>
    <w:link w:val="8"/>
    <w:qFormat/>
    <w:uiPriority w:val="99"/>
    <w:rPr>
      <w:sz w:val="18"/>
      <w:szCs w:val="18"/>
    </w:rPr>
  </w:style>
  <w:style w:type="paragraph" w:customStyle="1" w:styleId="19">
    <w:name w:val="Default Text"/>
    <w:basedOn w:val="1"/>
    <w:link w:val="25"/>
    <w:qFormat/>
    <w:uiPriority w:val="0"/>
    <w:pPr>
      <w:widowControl/>
      <w:overflowPunct w:val="0"/>
      <w:autoSpaceDE w:val="0"/>
      <w:autoSpaceDN w:val="0"/>
      <w:adjustRightInd w:val="0"/>
      <w:jc w:val="left"/>
      <w:textAlignment w:val="baseline"/>
    </w:pPr>
    <w:rPr>
      <w:kern w:val="0"/>
      <w:sz w:val="24"/>
      <w:szCs w:val="20"/>
    </w:rPr>
  </w:style>
  <w:style w:type="character" w:customStyle="1" w:styleId="20">
    <w:name w:val="日期 Char"/>
    <w:basedOn w:val="15"/>
    <w:link w:val="6"/>
    <w:semiHidden/>
    <w:qFormat/>
    <w:uiPriority w:val="99"/>
    <w:rPr>
      <w:rFonts w:ascii="Times New Roman" w:hAnsi="Times New Roman" w:eastAsia="仿宋_GB2312" w:cs="Times New Roman"/>
      <w:sz w:val="30"/>
      <w:szCs w:val="24"/>
    </w:rPr>
  </w:style>
  <w:style w:type="character" w:customStyle="1" w:styleId="21">
    <w:name w:val="批注文字 Char"/>
    <w:basedOn w:val="15"/>
    <w:link w:val="4"/>
    <w:semiHidden/>
    <w:qFormat/>
    <w:uiPriority w:val="99"/>
    <w:rPr>
      <w:rFonts w:eastAsia="仿宋_GB2312"/>
      <w:kern w:val="2"/>
      <w:sz w:val="30"/>
      <w:szCs w:val="24"/>
    </w:rPr>
  </w:style>
  <w:style w:type="character" w:customStyle="1" w:styleId="22">
    <w:name w:val="批注主题 Char"/>
    <w:basedOn w:val="21"/>
    <w:link w:val="12"/>
    <w:semiHidden/>
    <w:qFormat/>
    <w:uiPriority w:val="99"/>
    <w:rPr>
      <w:rFonts w:eastAsia="仿宋_GB2312"/>
      <w:b/>
      <w:bCs/>
      <w:kern w:val="2"/>
      <w:sz w:val="30"/>
      <w:szCs w:val="24"/>
    </w:rPr>
  </w:style>
  <w:style w:type="character" w:customStyle="1" w:styleId="23">
    <w:name w:val="批注框文本 Char"/>
    <w:basedOn w:val="15"/>
    <w:link w:val="7"/>
    <w:semiHidden/>
    <w:uiPriority w:val="99"/>
    <w:rPr>
      <w:rFonts w:eastAsia="仿宋_GB2312"/>
      <w:kern w:val="2"/>
      <w:sz w:val="18"/>
      <w:szCs w:val="18"/>
    </w:rPr>
  </w:style>
  <w:style w:type="paragraph" w:styleId="24">
    <w:name w:val="List Paragraph"/>
    <w:basedOn w:val="1"/>
    <w:unhideWhenUsed/>
    <w:qFormat/>
    <w:uiPriority w:val="99"/>
    <w:pPr>
      <w:ind w:firstLine="420" w:firstLineChars="200"/>
    </w:pPr>
  </w:style>
  <w:style w:type="character" w:customStyle="1" w:styleId="25">
    <w:name w:val="Default Text Char"/>
    <w:link w:val="19"/>
    <w:qFormat/>
    <w:uiPriority w:val="0"/>
    <w:rPr>
      <w:rFonts w:eastAsia="仿宋_GB2312"/>
      <w:sz w:val="24"/>
    </w:rPr>
  </w:style>
  <w:style w:type="character" w:customStyle="1" w:styleId="26">
    <w:name w:val="文档结构图 Char"/>
    <w:basedOn w:val="15"/>
    <w:link w:val="3"/>
    <w:semiHidden/>
    <w:qFormat/>
    <w:uiPriority w:val="99"/>
    <w:rPr>
      <w:rFonts w:ascii="宋体"/>
      <w:kern w:val="2"/>
      <w:sz w:val="18"/>
      <w:szCs w:val="18"/>
    </w:rPr>
  </w:style>
  <w:style w:type="character" w:customStyle="1" w:styleId="27">
    <w:name w:val="标题 1 Char"/>
    <w:basedOn w:val="15"/>
    <w:link w:val="2"/>
    <w:uiPriority w:val="9"/>
    <w:rPr>
      <w:rFonts w:eastAsia="仿宋_GB2312"/>
      <w:b/>
      <w:bCs/>
      <w:kern w:val="44"/>
      <w:sz w:val="44"/>
      <w:szCs w:val="44"/>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3"/>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AB393-0B93-4C0B-892F-42264253137C}">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1783</Words>
  <Characters>10165</Characters>
  <Lines>84</Lines>
  <Paragraphs>23</Paragraphs>
  <TotalTime>214</TotalTime>
  <ScaleCrop>false</ScaleCrop>
  <LinksUpToDate>false</LinksUpToDate>
  <CharactersWithSpaces>11925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2020-07-21T05:45:00Z</dcterms:created>
  <dc:creator>User</dc:creator>
  <cp:lastModifiedBy>区发改委</cp:lastModifiedBy>
  <cp:lastPrinted>2020-07-26T13:28:00Z</cp:lastPrinted>
  <dcterms:modified xsi:type="dcterms:W3CDTF">2024-12-04T08:58:23Z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B8480F53D96342E5B693145DE5AAA042</vt:lpwstr>
  </property>
</Properties>
</file>