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8FBF9">
      <w:pPr>
        <w:spacing w:line="560" w:lineRule="exact"/>
        <w:jc w:val="center"/>
        <w:rPr>
          <w:rFonts w:ascii="Times New Roman" w:hAnsi="Times New Roman" w:eastAsia="方正小标宋_GBK" w:cs="Times New Roman"/>
          <w:sz w:val="44"/>
          <w:szCs w:val="44"/>
        </w:rPr>
      </w:pPr>
      <w:bookmarkStart w:id="0" w:name="_GoBack"/>
      <w:r>
        <w:rPr>
          <w:rFonts w:hint="eastAsia" w:ascii="Times New Roman" w:hAnsi="Times New Roman" w:eastAsia="方正小标宋_GBK" w:cs="Times New Roman"/>
          <w:sz w:val="44"/>
          <w:szCs w:val="44"/>
        </w:rPr>
        <w:t>工业和信息化部等15部门办公厅（秘书局、办公室、综合司）关于促进中小企业提升合规意识加强合规管理的指导意见</w:t>
      </w:r>
    </w:p>
    <w:bookmarkEnd w:id="0"/>
    <w:p w14:paraId="60063925">
      <w:pPr>
        <w:spacing w:line="560" w:lineRule="exact"/>
        <w:jc w:val="center"/>
        <w:rPr>
          <w:rFonts w:ascii="Times New Roman" w:hAnsi="Times New Roman" w:eastAsia="方正仿宋_GBK" w:cs="Times New Roman"/>
          <w:sz w:val="32"/>
          <w:szCs w:val="32"/>
        </w:rPr>
      </w:pPr>
    </w:p>
    <w:p w14:paraId="5DE87F6D">
      <w:pPr>
        <w:spacing w:line="56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工信厅联企业〔2025〕14号</w:t>
      </w:r>
    </w:p>
    <w:p w14:paraId="6A049E8D">
      <w:pPr>
        <w:spacing w:line="560" w:lineRule="exact"/>
        <w:jc w:val="center"/>
        <w:rPr>
          <w:rFonts w:hint="eastAsia" w:ascii="Times New Roman" w:hAnsi="Times New Roman" w:eastAsia="方正仿宋_GBK" w:cs="Times New Roman"/>
          <w:sz w:val="32"/>
          <w:szCs w:val="32"/>
        </w:rPr>
      </w:pPr>
    </w:p>
    <w:p w14:paraId="618E46F0">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省、自治区、直辖市及计划单列市、新疆生产建设兵团中小企业主管部门、党委宣传部、网信办、财政厅（局）、人力资源社会保障厅（局）、生态环境厅（局）、商务主管部门、应急管理厅（局）、市场监管局（厅、委）、知识产权局、总工会、工商联、贸促会；中国人民银行上海总部，各省、自治区、直辖市及计划单列市分行；国家外汇管理局各省、自治区、直辖市、计划单列市分局：</w:t>
      </w:r>
    </w:p>
    <w:p w14:paraId="2A445EB9">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促进中小企业加强合规管理，是坚持全面依法治国基本方略的内在要求，也是推动中小企业持续健康发展的重要基础。为贯彻落实党中央、国务院关于促进中小企业发展的决策部署，引导中小企业增强合规意识，提升合规管理水平，防范生产经营风险，促进高质量发展，现就推动中小企业加强合规管理有关工作提出如下意见。</w:t>
      </w:r>
    </w:p>
    <w:p w14:paraId="1BF2AA83">
      <w:pPr>
        <w:spacing w:line="56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一、总体要求</w:t>
      </w:r>
    </w:p>
    <w:p w14:paraId="47842C1F">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为指导，深入贯彻习近平总书记关于促进中小企业发展的系列重要指示批示精神，落实党的二十大和二十届二中、三中全会精神，以促进中小企业高质量发展为主线，坚持问题导向、需求牵引，系统观念、法治思维，部门协同、上下联动，引导中小企业增强合规意识、加强合规建设、提升合规管理水平，防范生产经营风险。到2030年，中小企业合规发展环境进一步优化，中小企业合规服务工作体系基本形成，企业基本具备适应高质量发展要求的合规管理意识和能力，依法合规经营水平显著提升，合规成为中小企业核心竞争力的重要组成部分。</w:t>
      </w:r>
    </w:p>
    <w:p w14:paraId="349D7482">
      <w:pPr>
        <w:spacing w:line="560" w:lineRule="exact"/>
        <w:ind w:firstLine="640" w:firstLineChars="20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二、明确合规管理重点领域</w:t>
      </w:r>
    </w:p>
    <w:p w14:paraId="178B7180">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（一）劳动用工合规。</w:t>
      </w:r>
      <w:r>
        <w:rPr>
          <w:rFonts w:hint="eastAsia" w:ascii="Times New Roman" w:hAnsi="Times New Roman" w:eastAsia="方正仿宋_GBK" w:cs="Times New Roman"/>
          <w:sz w:val="32"/>
          <w:szCs w:val="32"/>
        </w:rPr>
        <w:t>引导中小企业遵守劳动法等法律法规，建立和完善劳动用工管理制度，明确人力资源引进、开发、使用、培养、考核、激励、退出等管理要求；落实劳动合同制度，遵守相关就业和用工监管要求，保障员工取得劳动报酬、享受休息休假、参加社会保障、接受职业培训等各项合法权益；为员工提供符合职业健康与安全标准的必要保障，降低健康和安全的风险；按规定提取职工教育经费，60％以上用于一线职工。</w:t>
      </w:r>
    </w:p>
    <w:p w14:paraId="5B8DFFE8">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（二）财税合规。</w:t>
      </w:r>
      <w:r>
        <w:rPr>
          <w:rFonts w:hint="eastAsia" w:ascii="Times New Roman" w:hAnsi="Times New Roman" w:eastAsia="方正仿宋_GBK" w:cs="Times New Roman"/>
          <w:sz w:val="32"/>
          <w:szCs w:val="32"/>
        </w:rPr>
        <w:t>引导中小企业遵守相关法律法规和国家统一的会计制度，真实、完整记录会计信息，建立会计档案，编制财务会计报告，反对财务造假和舞弊行为；依法履行纳税申报、税款缴纳和代扣代缴等义务，按规定报告纳税信息，避免产生欠税，杜绝偷税、骗税、抗税、虚开发票等违法行为，建立完善清晰、可操作的财务内部控制和审计制度；妥善保管财税资料和公司印章，定期开展内部财务审计。</w:t>
      </w:r>
    </w:p>
    <w:p w14:paraId="719F6143">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（三）产品和服务质量合规。</w:t>
      </w:r>
      <w:r>
        <w:rPr>
          <w:rFonts w:hint="eastAsia" w:ascii="Times New Roman" w:hAnsi="Times New Roman" w:eastAsia="方正仿宋_GBK" w:cs="Times New Roman"/>
          <w:sz w:val="32"/>
          <w:szCs w:val="32"/>
        </w:rPr>
        <w:t>引导中小企业建立完善质量管理体系，建立科学的质量管理方法与检查检验制度，严格实施岗位质量规范、质量责任及考核制度，保障产品质量控制和质量改进；设立独立的质量管理部门（岗位）监督推进质量管理制度；执行企业标准自我声明公开和监督制度，落实企业产品质量承诺；建立并严格执行各项生产工艺要求和规范；根据实际需求建立覆盖产品全生命周期的计量保障体系，提升质量控制水平；严禁制售假冒伪劣产品，严禁对产品和服务质量进行虚假宣传。</w:t>
      </w:r>
    </w:p>
    <w:p w14:paraId="0A633C75">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（四）安全生产合规。</w:t>
      </w:r>
      <w:r>
        <w:rPr>
          <w:rFonts w:hint="eastAsia" w:ascii="Times New Roman" w:hAnsi="Times New Roman" w:eastAsia="方正仿宋_GBK" w:cs="Times New Roman"/>
          <w:sz w:val="32"/>
          <w:szCs w:val="32"/>
        </w:rPr>
        <w:t>引导中小企业建立健全全员安全生产责任制，明确、细化不同岗位、级别人员的安全生产责任；制定实施安全生产规章制度和操作规程；保证安全生产投入，及时对老旧及磨损设备进行安全评估、检修和更换；建立并落实事故隐患内部报告奖励机制；建立企业安全生产标准化管理体系；制定并落实生产安全事故应急救援预案；组织从业人员进行安全生产教育和培训，不得安排未经安全生产教育或培训不合格的从业人员上岗作业；维护从业人员安全健康权益；加强对承包、承租单位的安全生产工作管理。</w:t>
      </w:r>
    </w:p>
    <w:p w14:paraId="1C130463">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（五）节能环保合规。</w:t>
      </w:r>
      <w:r>
        <w:rPr>
          <w:rFonts w:hint="eastAsia" w:ascii="Times New Roman" w:hAnsi="Times New Roman" w:eastAsia="方正仿宋_GBK" w:cs="Times New Roman"/>
          <w:sz w:val="32"/>
          <w:szCs w:val="32"/>
        </w:rPr>
        <w:t>引导中小企业依法依规落实生态环境分区管控、环境影响评价、排污许可、消耗臭氧层物质管理和生态环境损害赔偿制度等要求，提升生态环境保护主体责任意识，采取严格的生态保护和污染防治措施；推进清洁能源替代，禁止使用已淘汰的消耗臭氧层物质；按照节能降碳、循环经济等标准及规定要求改进生产工艺；把污染防治纳入规划选址、生产管理、控制过程，加强源头防控；坚持生态保护和防治污染的设施与主体工程同时设计、施工和投产使用；加强污染防治设施建设、运行和维护，严格控制污染物排放，落实重点管控新污染物清单中的禁止、限制等环境风险管控措施；依法建立环境管理台账记录制度，加强对废气、废水、固体废物、噪声、碳排放、生态破坏的监测管控；完善环境污染事件与突发环境事件风险防控和应急处置措施。</w:t>
      </w:r>
    </w:p>
    <w:p w14:paraId="209C0011">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（六）知识产权合规。</w:t>
      </w:r>
      <w:r>
        <w:rPr>
          <w:rFonts w:hint="eastAsia" w:ascii="Times New Roman" w:hAnsi="Times New Roman" w:eastAsia="方正仿宋_GBK" w:cs="Times New Roman"/>
          <w:sz w:val="32"/>
          <w:szCs w:val="32"/>
        </w:rPr>
        <w:t>引导中小企业遵守有关法律法规，强化对商标、专利、著作权、商业秘密等知识产权的创造、运用、保护和管理，参照相关标准、规范制定相关管理制度并有效执行；及时完成权利登记或注册；规范运用知识产权成果，合规实施许可和转让，加强在研发、设计、采购、生产、销售、参展等环节的知识产权风险评估，依法合规使用他人知识产权，合理确定知识产权价值，有效保障创新者、使用者权益，促进知识产权保护运用。鼓励中小企业开展数据知识产权登记。</w:t>
      </w:r>
    </w:p>
    <w:p w14:paraId="1BBB4533">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（七）网络和数据安全合规。</w:t>
      </w:r>
      <w:r>
        <w:rPr>
          <w:rFonts w:hint="eastAsia" w:ascii="Times New Roman" w:hAnsi="Times New Roman" w:eastAsia="方正仿宋_GBK" w:cs="Times New Roman"/>
          <w:sz w:val="32"/>
          <w:szCs w:val="32"/>
        </w:rPr>
        <w:t>引导中小企业遵守网络安全、数据安全等方面法律法规，加强信息系统、网络、数据的安全防护和安全意识教育；制定实施数据安全合规管理制度，加强对数据的分类分级和权限管理，加强人员管理和技术控制，履行重要数据识别备案、分级防护、风险评估等责任义务，防范并及时应对和处理数据泄露、篡改、丢失事件；重点梳理向第三方输出、共享、委托、提供数据，从第三方接受数据，处理个人信息及跨境传输数据等活动中的合规要求和风险，落实特定类型信息收集与使用合规义务，保护企业数据及个人信息安全。</w:t>
      </w:r>
    </w:p>
    <w:p w14:paraId="7A5A71C4">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（八）公司治理合规。</w:t>
      </w:r>
      <w:r>
        <w:rPr>
          <w:rFonts w:hint="eastAsia" w:ascii="Times New Roman" w:hAnsi="Times New Roman" w:eastAsia="方正仿宋_GBK" w:cs="Times New Roman"/>
          <w:sz w:val="32"/>
          <w:szCs w:val="32"/>
        </w:rPr>
        <w:t>引导中小企业依法注册登记，确保登记信息真实、准确、完整，依法完成出资；建立规范、透明的治理结构，制定和执行公司章程，明确股东、董事、董事会、监事、监事会、高级管理人员的权利和义务，加强廉洁风险防控；合法合规对外担保，有效控制担保风险；合理开展融资活动，确保资金使用合规；真实、准确、完整、及时开展信息披露；企业解散的，依法完成解散程序，及时履行清算义务。</w:t>
      </w:r>
    </w:p>
    <w:p w14:paraId="7ACB6DE7">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（九）国际化经营合规。</w:t>
      </w:r>
      <w:r>
        <w:rPr>
          <w:rFonts w:hint="eastAsia" w:ascii="Times New Roman" w:hAnsi="Times New Roman" w:eastAsia="方正仿宋_GBK" w:cs="Times New Roman"/>
          <w:sz w:val="32"/>
          <w:szCs w:val="32"/>
        </w:rPr>
        <w:t>引导中小企业提高对外贸易投资合作经营活动中的合规风险防范意识，严格遵守国家出口管制法律法规，熟悉了解境外相关的市场准入、环境保护、土地、税收、劳工、外汇、知识产权等法律法规，遵守国际规则和国际惯例，重视合规风险的评估和预警，建立健全内控合规管理体系，健全合规审查内部机制，有效识别分析和管控合规风险；有效应对涉及贸易保护、出口管制以及多边银行制裁等外部风险，妥善选择风险应对策略，减少负面影响。</w:t>
      </w:r>
    </w:p>
    <w:p w14:paraId="694420F0">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（十）供应链合规。</w:t>
      </w:r>
      <w:r>
        <w:rPr>
          <w:rFonts w:hint="eastAsia" w:ascii="Times New Roman" w:hAnsi="Times New Roman" w:eastAsia="方正仿宋_GBK" w:cs="Times New Roman"/>
          <w:sz w:val="32"/>
          <w:szCs w:val="32"/>
        </w:rPr>
        <w:t>引导中小企业加强对供应链重点环节，包括研发、采购、生产、物流、销售等环节的合规义务识别和风险管理；协同供应链上下游合作伙伴进行尽职调查，确保其满足反贿赂与反舞弊、产品安全、环境保护等合规要求，加强合规风险防控。</w:t>
      </w:r>
    </w:p>
    <w:p w14:paraId="75B09849">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鼓励引导中小企业结合自身特点、业务范围、发展需要等，加强其他相关领域合规管理。</w:t>
      </w:r>
    </w:p>
    <w:p w14:paraId="12CF2773">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三、统筹推进中小企业合规管理体系建设</w:t>
      </w:r>
    </w:p>
    <w:p w14:paraId="3029353B">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楷体_GBK" w:cs="Times New Roman"/>
          <w:sz w:val="32"/>
          <w:szCs w:val="32"/>
        </w:rPr>
        <w:t>（一）坚持理念引领，提升企业合规意识。</w:t>
      </w:r>
      <w:r>
        <w:rPr>
          <w:rFonts w:hint="eastAsia" w:ascii="Times New Roman" w:hAnsi="Times New Roman" w:eastAsia="方正仿宋_GBK" w:cs="Times New Roman"/>
          <w:sz w:val="32"/>
          <w:szCs w:val="32"/>
        </w:rPr>
        <w:t>各地要组织开展形式多样的宣传活动，加强涉企法律法规、监管规定、政策要求的宣传解读，积极总结和宣传推广地区、行业内中小企业合规经营典型，开展“以案说规”等案件分析，帮助广大中小企业了解合规内涵、认识违规危害、树立合规意识。将合规管理纳入中小企业经营管理领军人才和专精特新“小巨人”、专精特新中小企业培训内容，面向中小企业经营管理人员普及合规知识，帮助中小企业了解合规、重视合规、精通合规，推动合规管理成为企业自觉行为。</w:t>
      </w:r>
    </w:p>
    <w:p w14:paraId="37EBD2BB">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（二）坚持因企制宜，引导企业完善合规制度。</w:t>
      </w:r>
      <w:r>
        <w:rPr>
          <w:rFonts w:hint="eastAsia" w:ascii="Times New Roman" w:hAnsi="Times New Roman" w:eastAsia="方正仿宋_GBK" w:cs="Times New Roman"/>
          <w:sz w:val="32"/>
          <w:szCs w:val="32"/>
        </w:rPr>
        <w:t>工业和信息化部将会同有关部门研究梳理中小企业合规相关标准和合规要点，为企业提供指引和参考。全国工商联将加强法治民企建设，制定实施工商联执委企业建立和完善中国特色现代企业制度指引。各地要结合实际，引导中小企业从自身实际情况出发，以风险防控为目标，建立完善覆盖重点领域、关键环节和重要人员的合规管理体系，在兼顾成本与效率的前提下加强合规管理。在选择合规管理模式、建立合规治理结构、培育合规文化理念、数字化转型推进合规等方面充分发挥企业自主性，以适合企业所需为宜。</w:t>
      </w:r>
    </w:p>
    <w:p w14:paraId="6D000F8C">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（三）坚持服务先行，加大合规服务供给。</w:t>
      </w:r>
      <w:r>
        <w:rPr>
          <w:rFonts w:hint="eastAsia" w:ascii="Times New Roman" w:hAnsi="Times New Roman" w:eastAsia="方正仿宋_GBK" w:cs="Times New Roman"/>
          <w:sz w:val="32"/>
          <w:szCs w:val="32"/>
        </w:rPr>
        <w:t>各地要结合“一起益企”中小企业服务行动、中小企业服务月活动，全国工商联“助微计划”专项行动、创新型成长型民营企业赋能行动等，组织服务机构为中小企业开展合规风险排查、合规培训、合规诊断、咨询辅导、合规体系建设、维权服务等多层次合规服务。用好全国中小企业服务“一张网”、全国工商联“网上工商联”及其他相关部门服务平台，把合规管理纳入服务内容，线上线下为中小企业提供查询检索、案例剖析、自检工具和咨询辅导等多种形式的服务。加强中小企业合规人才培养，发挥企业合规师培训基地作用，支持开展中小企业合规师培训。引导中小企业通过国际商事纠纷多元化解决机制，维护自身合法权益。有条件的地方要通过政府采购服务、发放服务券等方式支持中小企业合规管理服务。</w:t>
      </w:r>
    </w:p>
    <w:p w14:paraId="36614FDE">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（四）坚持问题导向，解决企业痛点难点。</w:t>
      </w:r>
      <w:r>
        <w:rPr>
          <w:rFonts w:hint="eastAsia" w:ascii="Times New Roman" w:hAnsi="Times New Roman" w:eastAsia="方正仿宋_GBK" w:cs="Times New Roman"/>
          <w:sz w:val="32"/>
          <w:szCs w:val="32"/>
        </w:rPr>
        <w:t>工业和信息化部会同有关部门，针对中小企业合规问题多发的关键领域和管理提升诉求，组织研究开发中小企业合规自检工具，汇集中小企业合规管理典型案例，为中小企业提供参考。鼓励各地深入调研了解本地中小企业合规管理情况，立足产业发展实际，研究开发具有地方和行业特色的中小企业合规实务操作指南、合规诊断工具，培育遴选专业合规服务机构，建设有关政策库、专家库、案例库、服务机构库。鼓励集群、园区、基地等结合实际组织开展企业合规指导和合规诊断公益服务。</w:t>
      </w:r>
    </w:p>
    <w:p w14:paraId="4E41C19A">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（五）坚持开拓创新，鼓励开展先行先试。</w:t>
      </w:r>
      <w:r>
        <w:rPr>
          <w:rFonts w:hint="eastAsia" w:ascii="Times New Roman" w:hAnsi="Times New Roman" w:eastAsia="方正仿宋_GBK" w:cs="Times New Roman"/>
          <w:sz w:val="32"/>
          <w:szCs w:val="32"/>
        </w:rPr>
        <w:t>各地要积极引导中小企业探索合规管理组织模式和工作机制创新，提升企业合规专业化能力和水平。鼓励有条件的地方依法依规在劳动用工、职场环境、知识产权、国际化经营、出口管制等合规风险高发领域探索开展促进中小企业合规管理相关创新措施试点。鼓励具备较好企业基础、工作条件比较成熟的地区，研究出台促进中小企业合规管理的相关政策措施，研究构建合规风险预警机制、重大风险快速响应机制，依法依规探索在相关评比、认定、考核工作中引入合规方面指标，引导、帮助优质中小企业提升合规管理水平。积极组织开展有关合规管理和服务的国际交流合作，推动中小企业合规管理与国际通行规则接轨。</w:t>
      </w:r>
    </w:p>
    <w:p w14:paraId="4BAD1580">
      <w:pPr>
        <w:spacing w:line="56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楷体_GBK" w:cs="Times New Roman"/>
          <w:sz w:val="32"/>
          <w:szCs w:val="32"/>
        </w:rPr>
        <w:t>（六）坚持协调联动，建立多方协同工作机制。</w:t>
      </w:r>
      <w:r>
        <w:rPr>
          <w:rFonts w:hint="eastAsia" w:ascii="Times New Roman" w:hAnsi="Times New Roman" w:eastAsia="方正仿宋_GBK" w:cs="Times New Roman"/>
          <w:sz w:val="32"/>
          <w:szCs w:val="32"/>
        </w:rPr>
        <w:t>工业和信息化部研究将合规管理纳入专精特新中小企业评价指标体系和中小企业发展环境评估内容。各地要充分发挥中小企业主管部门统筹协调作用，联合有关部门、机构，建立部门间协调联动工作机制，推动形成政府部门、工商联组织、行业商协会、专业服务机构和中小企业多方参与、专业高效的中小企业合规工作体系，充分发挥部门职责和机构专业服务优势，形成工作合力，推动中小企业不断提升合规管理水平。</w:t>
      </w:r>
    </w:p>
    <w:p w14:paraId="4A1EA033">
      <w:pPr>
        <w:spacing w:line="560" w:lineRule="exact"/>
        <w:ind w:firstLine="640" w:firstLineChars="200"/>
        <w:rPr>
          <w:rFonts w:ascii="Times New Roman" w:hAnsi="Times New Roman" w:eastAsia="方正仿宋_GBK" w:cs="Times New Roman"/>
          <w:sz w:val="32"/>
          <w:szCs w:val="32"/>
        </w:rPr>
      </w:pPr>
    </w:p>
    <w:p w14:paraId="29612CDA">
      <w:pPr>
        <w:spacing w:line="560" w:lineRule="exact"/>
        <w:ind w:firstLine="640" w:firstLineChars="200"/>
        <w:rPr>
          <w:rFonts w:hint="eastAsia" w:ascii="Times New Roman" w:hAnsi="Times New Roman" w:eastAsia="方正仿宋_GBK" w:cs="Times New Roman"/>
          <w:sz w:val="32"/>
          <w:szCs w:val="32"/>
        </w:rPr>
      </w:pPr>
    </w:p>
    <w:p w14:paraId="13F4900F">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工业和信息化部办公厅</w:t>
      </w:r>
    </w:p>
    <w:p w14:paraId="28474686">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中央宣传部办公厅</w:t>
      </w:r>
    </w:p>
    <w:p w14:paraId="51694990">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中央网信办秘书局</w:t>
      </w:r>
    </w:p>
    <w:p w14:paraId="4F37ECB5">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财政部办公厅</w:t>
      </w:r>
    </w:p>
    <w:p w14:paraId="2F80BBF7">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人力资源社会保障部办公厅</w:t>
      </w:r>
    </w:p>
    <w:p w14:paraId="78B7AEE5">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生态环境部办公厅</w:t>
      </w:r>
    </w:p>
    <w:p w14:paraId="39BD81ED">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商务部办公厅</w:t>
      </w:r>
    </w:p>
    <w:p w14:paraId="362E28F4">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应急管理部办公厅</w:t>
      </w:r>
    </w:p>
    <w:p w14:paraId="23E5F9E6">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中国人民银行办公厅</w:t>
      </w:r>
    </w:p>
    <w:p w14:paraId="48B0BD8D">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市场监管总局办公厅</w:t>
      </w:r>
    </w:p>
    <w:p w14:paraId="3F64B1A0">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国家知识产权局办公室</w:t>
      </w:r>
    </w:p>
    <w:p w14:paraId="14FF1414">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国家外汇局综合司</w:t>
      </w:r>
    </w:p>
    <w:p w14:paraId="18B20BA6">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全国总工会办公厅</w:t>
      </w:r>
    </w:p>
    <w:p w14:paraId="0175A49E">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全国工商联办公厅</w:t>
      </w:r>
    </w:p>
    <w:p w14:paraId="1938F58D">
      <w:pPr>
        <w:spacing w:line="560" w:lineRule="exact"/>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中国贸促会办公室</w:t>
      </w:r>
    </w:p>
    <w:p w14:paraId="04488048">
      <w:pPr>
        <w:spacing w:line="560" w:lineRule="exact"/>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2025年3月7日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64"/>
    <w:rsid w:val="000E2AF5"/>
    <w:rsid w:val="0015730D"/>
    <w:rsid w:val="00176301"/>
    <w:rsid w:val="001A2C64"/>
    <w:rsid w:val="001B654E"/>
    <w:rsid w:val="002A4C1B"/>
    <w:rsid w:val="00354ADF"/>
    <w:rsid w:val="003E05DE"/>
    <w:rsid w:val="005007B4"/>
    <w:rsid w:val="00682AD2"/>
    <w:rsid w:val="00750CEC"/>
    <w:rsid w:val="00816A3E"/>
    <w:rsid w:val="0093318C"/>
    <w:rsid w:val="00AA5061"/>
    <w:rsid w:val="00B5256C"/>
    <w:rsid w:val="00BD7B09"/>
    <w:rsid w:val="00BF08D6"/>
    <w:rsid w:val="00D00B87"/>
    <w:rsid w:val="00F23A46"/>
    <w:rsid w:val="00F43528"/>
    <w:rsid w:val="45D81637"/>
    <w:rsid w:val="66AF4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4527</Words>
  <Characters>4539</Characters>
  <Lines>32</Lines>
  <Paragraphs>9</Paragraphs>
  <TotalTime>14</TotalTime>
  <ScaleCrop>false</ScaleCrop>
  <LinksUpToDate>false</LinksUpToDate>
  <CharactersWithSpaces>4539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2025-03-18T06:38:00Z</dcterms:created>
  <dc:creator>Administrator</dc:creator>
  <cp:lastModifiedBy>董立昊</cp:lastModifiedBy>
  <dcterms:modified xsi:type="dcterms:W3CDTF">2025-03-24T07:20:22Z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767F2264A19B4472BEA469DCA6078BA7_13</vt:lpwstr>
  </property>
</Properties>
</file>