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38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B808426">
      <w:pPr>
        <w:widowControl w:val="0"/>
        <w:tabs>
          <w:tab w:val="left" w:pos="360"/>
          <w:tab w:val="left" w:pos="8640"/>
        </w:tabs>
        <w:spacing w:after="312" w:afterLines="100" w:line="560" w:lineRule="exact"/>
        <w:jc w:val="center"/>
        <w:rPr>
          <w:rFonts w:hint="default" w:ascii="Times New Roman" w:hAnsi="Times New Roman" w:eastAsia="方正小标宋_GBK" w:cs="Times New Roman"/>
          <w:w w:val="90"/>
          <w:kern w:val="2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北碚发改﹝20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﹞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号</w:t>
      </w:r>
    </w:p>
    <w:p w14:paraId="7418D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方正小标宋_GBK" w:eastAsia="方正小标宋_GBK" w:cs="Times New Roman"/>
          <w:w w:val="90"/>
          <w:kern w:val="2"/>
          <w:sz w:val="44"/>
          <w:szCs w:val="44"/>
        </w:rPr>
      </w:pPr>
    </w:p>
    <w:p w14:paraId="4C063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96" w:leftChars="200" w:right="631" w:rightChars="263" w:hanging="16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eastAsia="zh-CN"/>
        </w:rPr>
        <w:t>重庆市北碚区发展和改革委员会</w:t>
      </w:r>
    </w:p>
    <w:p w14:paraId="04253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96" w:leftChars="200" w:right="631" w:rightChars="263" w:hanging="16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重庆市北碚区财政局</w:t>
      </w:r>
    </w:p>
    <w:p w14:paraId="6487E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印发《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北碚区促进现代生产性服务业高质量发展惠企政策九条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》的通知</w:t>
      </w:r>
    </w:p>
    <w:bookmarkEnd w:id="0"/>
    <w:p w14:paraId="5234E37A">
      <w:pPr>
        <w:widowControl w:val="0"/>
        <w:spacing w:after="1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1280E7E">
      <w:pPr>
        <w:widowControl w:val="0"/>
        <w:spacing w:line="560" w:lineRule="exact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各街道办事处、镇人民政府，区政府各部门、园城管委会，各在</w:t>
      </w:r>
    </w:p>
    <w:p w14:paraId="02A50EB5">
      <w:pPr>
        <w:widowControl w:val="0"/>
        <w:spacing w:line="560" w:lineRule="exact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碚市属部门，有关单位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：</w:t>
      </w:r>
    </w:p>
    <w:p w14:paraId="10A814C4">
      <w:pPr>
        <w:widowControl w:val="0"/>
        <w:tabs>
          <w:tab w:val="left" w:pos="99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根据《重庆市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支持现代生产性服务业高质量发展若干政策措施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渝发改规范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号），重庆市北碚区发展和改革委员会、重庆市北碚区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牵头制定了《北碚区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促进现代生产性服务业高质量发展惠企政策九条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》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经区委区政府审议同意，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现印发你们，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请认真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贯彻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。</w:t>
      </w:r>
    </w:p>
    <w:p w14:paraId="0C0691C5">
      <w:pPr>
        <w:widowControl w:val="0"/>
        <w:tabs>
          <w:tab w:val="left" w:pos="990"/>
        </w:tabs>
        <w:spacing w:line="560" w:lineRule="exact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</w:pPr>
    </w:p>
    <w:p w14:paraId="502FA961">
      <w:pPr>
        <w:widowControl w:val="0"/>
        <w:tabs>
          <w:tab w:val="left" w:pos="990"/>
        </w:tabs>
        <w:spacing w:line="560" w:lineRule="exact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</w:pPr>
    </w:p>
    <w:p w14:paraId="3C24F465">
      <w:pPr>
        <w:widowControl w:val="0"/>
        <w:spacing w:after="12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GB" w:eastAsia="zh-CN" w:bidi="ar-SA"/>
        </w:rPr>
      </w:pPr>
    </w:p>
    <w:p w14:paraId="291129D2">
      <w:pPr>
        <w:widowControl w:val="0"/>
        <w:tabs>
          <w:tab w:val="left" w:pos="990"/>
        </w:tabs>
        <w:spacing w:line="560" w:lineRule="exact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GB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GB" w:eastAsia="zh-CN"/>
        </w:rPr>
        <w:t>重庆市北碚区发展和改革委员会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 xml:space="preserve">       重庆市北碚区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财政局</w:t>
      </w:r>
    </w:p>
    <w:p w14:paraId="5E44CD6C">
      <w:pPr>
        <w:widowControl w:val="0"/>
        <w:tabs>
          <w:tab w:val="left" w:pos="990"/>
        </w:tabs>
        <w:spacing w:line="660" w:lineRule="exact"/>
        <w:ind w:firstLine="5760" w:firstLineChars="18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GB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GB" w:eastAsia="zh-CN"/>
        </w:rPr>
        <w:t>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GB" w:eastAsia="zh-CN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GB" w:eastAsia="zh-CN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GB" w:eastAsia="zh-CN"/>
        </w:rPr>
        <w:t>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</w:t>
      </w:r>
    </w:p>
    <w:p w14:paraId="44D59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 w14:paraId="1838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 w14:paraId="5A0E8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北碚区促进现代生产性服务业高质量发展</w:t>
      </w:r>
    </w:p>
    <w:p w14:paraId="03D6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惠企政策九条</w:t>
      </w:r>
    </w:p>
    <w:p w14:paraId="4471A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 w14:paraId="390D9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为深入贯彻落实国家、市级决策部署，加快推动北碚区现代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生产性服务业向专业化和价值链高端延伸，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结合《重庆市支持现代生产性服务业高质量发展若干政策措施》（渝发改规范〔2024〕7号）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《重庆市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北碚区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加速推进现代生产性服务业高质量发展行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动方案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（2024—2027年）》（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北碚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府发〔2024〕18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等文件精神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，特制定如下支持措施。</w:t>
      </w:r>
    </w:p>
    <w:p w14:paraId="23C80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一、鼓励产业集聚发展</w:t>
      </w:r>
    </w:p>
    <w:p w14:paraId="31057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鼓励强链补链整合优质资源，打造现代生产性服务业集聚区。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对集聚区内入驻的重点项目、平台和企业，给予资金、人才和用地支持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优先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推荐争取中央预算内投资、专项债、特别国债及国家级试点示范项目支持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鼓励集聚区运营机构给予入驻企业租金减免、购房装修、网络通讯等支持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对于年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度评估为A等级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的市级现代生产性服务业集聚区，分档次给予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100万—500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万元奖励。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发展改革委，责任单位：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现代生产性服务业高质量发展专项工作机制成员单位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）</w:t>
      </w:r>
    </w:p>
    <w:p w14:paraId="263EE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二、支持重点项目建设</w:t>
      </w:r>
    </w:p>
    <w:p w14:paraId="69079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支持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现代生产性服务业重点项目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建设，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对入选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市级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现代生产性服务业重点项目库且建设进度符合条件的项目，按照经核定的投资金额给予一次性补助，单个项目的支持金额原则上不超过项目投资总额的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，支持金额不超过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政府同意，特别重大的项目可提高，但最高支持金额原则上不超过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万元。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发展改革委，责任单位：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现代生产性服务业高质量发展专项工作机制成员单位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）</w:t>
      </w:r>
    </w:p>
    <w:p w14:paraId="030D3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三、支持平台载体建设</w:t>
      </w:r>
    </w:p>
    <w:p w14:paraId="0CFC7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支持现代生产性服务业领域共性技术研发、成果转化、工业设计、供应链管理、知识产权运营、品牌营销、检验检测认证等领域公共服务平台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载体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建设，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对于得到市级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现代生产性服务业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奖励资金的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公共服务平台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投资额超过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500万元的，按不超过投资额的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0%给予补助，最高不超过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00万元。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（牵头单位：区发展改革委，责任单位：区现代生产性服务业高质量发展专项工作机制成员单位）</w:t>
      </w:r>
    </w:p>
    <w:p w14:paraId="6B08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四、支持星级楼宇打造</w:t>
      </w:r>
    </w:p>
    <w:p w14:paraId="6E21E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年度营业收入增速较快的“星级”楼宇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分档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给予楼宇运营机构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0万元、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定额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奖励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鼓励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楼宇运营机构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完善配套服务功能，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按照“拎包入住”标准打造楼宇空间。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牵头单位：区发展改革委、区经信委、区商务委，责任单位：区现代生产性服务业高质量发展专项工作机制成员单位）</w:t>
      </w:r>
    </w:p>
    <w:p w14:paraId="260B3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五、强化市场主体培育</w:t>
      </w:r>
    </w:p>
    <w:p w14:paraId="64C59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鼓励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各行业部门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培育规模以上生产性服务业企业，对每年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新增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规上服务业企业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存量服务业企业按照相应标准实施资金奖励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牵头单位：区发展改革委，责任单位：区现代生产性服务业高质量发展专项工作机制成员单位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）</w:t>
      </w:r>
    </w:p>
    <w:p w14:paraId="4763C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六、支持招引优质企业</w:t>
      </w:r>
    </w:p>
    <w:p w14:paraId="4A666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鼓励培育一批优质企业、标志性项目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和品牌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鼓励引培“中国服务业企业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500强”（中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企联发布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）、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“重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庆市服务业企业100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强”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（市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企联发布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）等，每新增1家首次入选的生产性服务业企业，给予企业200万元、100万元奖励。鼓励制造业企业主辅分离，剥离现代物流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节能环保、检验检测等业务设立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生产性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服务业独立法人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企业，对分离后新设立的生产性服务业企业，年营业收入达到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万元以上的给予一次性奖励，最高不超过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万元。支持生产性服务业中小企业向“专精特新”转型发展。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（牵头单位：区发展改革委，责任单位：区现代生产性服务业高质量发展专项工作机制成员单位）</w:t>
      </w:r>
    </w:p>
    <w:p w14:paraId="64B09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七、强化金融服务供给</w:t>
      </w:r>
    </w:p>
    <w:p w14:paraId="4F0CD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加大政府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产业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基金对现代生产性服务业企业、项目和集聚区建设的支持力度。鼓励银行、担保、保险等金融机构围绕生产性服务业开发针对性融资产品，创新知识产权质押贷款、“科创贷”等贷款产品，丰富“再贷款+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再贴现+”产品体系，切实降低生产性服务业企业融资成本。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（牵头单位：区金融发展中心，责任单位：区现代生产性服务业高质量发展专项工作机制成员单位）</w:t>
      </w:r>
    </w:p>
    <w:p w14:paraId="63779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八、强化人才支撑保障</w:t>
      </w:r>
    </w:p>
    <w:p w14:paraId="5E852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支持发展软件和信息服务、法律、会计、咨询、设计等人力和知识密集型服务业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迭代升级生产性服务业急需紧缺人才目录，通过“揭榜挂帅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揭榜招贤”等方式引进高层次现代生产性服务业人才、领军型创新创业团队等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深化落实“碚有引力”“缙云英才”行动计划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牵头单位：区委人才办、区人力社保局，责任单位：区现代生产性服务业高质量发展专项工作机制成员单位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）</w:t>
      </w:r>
    </w:p>
    <w:p w14:paraId="65FAE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九、优化产业发展生态</w:t>
      </w:r>
    </w:p>
    <w:p w14:paraId="105DB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深化开放合作，支持通过产业联动、平台联建、活动联办、品牌联创等方式，搭建更多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内企业“走出去”、市外企业“引进来”的合作交流平台。支持举办生产性服务业领域全国性行业协会年会、产业联盟峰会、圆桌会、研讨会、论坛、推介会等系列活动。支持行业协会发展，充分发挥政府采购作用，鼓励相关部门购买行业领域社会组织服务。搭建行业协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商会互学互鉴平台。加强用地保障，盘活存量低效用地，鼓励采用长期租赁、先租后让、弹性年期出让等灵活的供地方式支持生产性服务业发展。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鼓励工业企业利用存量房产、土地兴办生产性服务业、创新创业平台等新产业、新业态建设项目。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牵头单位：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区发展改革委、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区规划自然资源局，责任单位：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区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现代生产性服务业高质量发展专项工作机制成员单位）</w:t>
      </w:r>
    </w:p>
    <w:p w14:paraId="7D9EF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/>
        </w:rPr>
        <w:t xml:space="preserve">  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本政策自发布之日起施行，有效期至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2027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日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/>
        </w:rPr>
        <w:t>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3412418-52B2-4EF3-BE98-69DAA7DD56E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CCEBC65-9C3F-4BAF-8CDD-E81C6C2BB6E2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ABE7694-0647-48FF-AC94-38756BC4FE5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41497BC-4D2D-405A-8719-6B99CB6B3E5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C883F06-BC6C-4164-A5AA-215EC911C6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FE07A">
    <w:pPr>
      <w:pStyle w:val="8"/>
      <w:ind w:left="5472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FB66B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4FB66B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103718A">
    <w:pPr>
      <w:pStyle w:val="8"/>
      <w:ind w:left="5472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1975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442.5pt;z-index:251660288;mso-width-relative:page;mso-height-relative:page;" filled="f" stroked="t" coordsize="21600,21600" o:gfxdata="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c09PfUAAAA&#10;CAEAAA8AAAAAAAAAAQAgAAAAIgAAAGRycy9kb3ducmV2LnhtbFBLAQIUABQAAAAIAIdO4kCSzRxK&#10;6AEAALQDAAAOAAAAAAAAAAEAIAAAACM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BC26D03"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重庆市北碚区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发展和改革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503C2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458470</wp:posOffset>
              </wp:positionV>
              <wp:extent cx="5619750" cy="381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61975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2pt;margin-top:36.1pt;height:0.3pt;width:442.5pt;z-index:251659264;mso-width-relative:page;mso-height-relative:page;" filled="f" stroked="t" coordsize="21600,21600" o:gfxdata="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RyXKF1wAAAAcBAAAPAAAAAAAAAAEAIAAAACIAAABkcnMvZG93bnJl&#10;di54bWxQSwECFAAUAAAACACHTuJAgaVnjf4BAADKAwAADgAAAAAAAAABACAAAAAmAQAAZHJzL2Uy&#10;b0RvYy54bWxQSwUGAAAAAAYABgBZAQAAl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重庆市北碚区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发展和改革</w:t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TU0OThmNzFlZmI5MmYwNTUzZmY5ODNmMDlkNTg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604E70"/>
    <w:rsid w:val="0A766EDE"/>
    <w:rsid w:val="0AD64BE8"/>
    <w:rsid w:val="0AF52BD8"/>
    <w:rsid w:val="0B0912D7"/>
    <w:rsid w:val="0D132F22"/>
    <w:rsid w:val="0D594F01"/>
    <w:rsid w:val="0E025194"/>
    <w:rsid w:val="0EEF0855"/>
    <w:rsid w:val="0FEA29AF"/>
    <w:rsid w:val="11DB7C71"/>
    <w:rsid w:val="12984FBB"/>
    <w:rsid w:val="145361D7"/>
    <w:rsid w:val="152D2DCA"/>
    <w:rsid w:val="187168EA"/>
    <w:rsid w:val="196673CA"/>
    <w:rsid w:val="1AF67FF9"/>
    <w:rsid w:val="1CF734C9"/>
    <w:rsid w:val="1DEC284C"/>
    <w:rsid w:val="1E6523AC"/>
    <w:rsid w:val="1E786D7F"/>
    <w:rsid w:val="20C87B1E"/>
    <w:rsid w:val="220C7696"/>
    <w:rsid w:val="22440422"/>
    <w:rsid w:val="22BB4BBB"/>
    <w:rsid w:val="244807D4"/>
    <w:rsid w:val="25473CB6"/>
    <w:rsid w:val="25EB1AF4"/>
    <w:rsid w:val="27291A5F"/>
    <w:rsid w:val="2C5C1A8E"/>
    <w:rsid w:val="2DD05FE1"/>
    <w:rsid w:val="2DFA155F"/>
    <w:rsid w:val="2EAE3447"/>
    <w:rsid w:val="30AA3E9D"/>
    <w:rsid w:val="31A15F24"/>
    <w:rsid w:val="329E3CA6"/>
    <w:rsid w:val="36FB1DF0"/>
    <w:rsid w:val="37164F30"/>
    <w:rsid w:val="386306E8"/>
    <w:rsid w:val="395347B5"/>
    <w:rsid w:val="39A232A0"/>
    <w:rsid w:val="39E745AA"/>
    <w:rsid w:val="3B5A6BBB"/>
    <w:rsid w:val="3CA154E3"/>
    <w:rsid w:val="3E446852"/>
    <w:rsid w:val="3EDA13A6"/>
    <w:rsid w:val="3FF56C14"/>
    <w:rsid w:val="417B75E9"/>
    <w:rsid w:val="42430A63"/>
    <w:rsid w:val="42F058B7"/>
    <w:rsid w:val="436109F6"/>
    <w:rsid w:val="43880F63"/>
    <w:rsid w:val="441A38D4"/>
    <w:rsid w:val="4504239D"/>
    <w:rsid w:val="468679DC"/>
    <w:rsid w:val="4BC77339"/>
    <w:rsid w:val="4BFA38AA"/>
    <w:rsid w:val="4C9236C5"/>
    <w:rsid w:val="4E250A85"/>
    <w:rsid w:val="4FB530E0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A315A59"/>
    <w:rsid w:val="5DC34279"/>
    <w:rsid w:val="5FCD688E"/>
    <w:rsid w:val="5FF9BDAA"/>
    <w:rsid w:val="608816D1"/>
    <w:rsid w:val="60964868"/>
    <w:rsid w:val="60EF4E7F"/>
    <w:rsid w:val="648B0A32"/>
    <w:rsid w:val="658F6764"/>
    <w:rsid w:val="665233C1"/>
    <w:rsid w:val="68F43123"/>
    <w:rsid w:val="69AC0D42"/>
    <w:rsid w:val="6AD9688B"/>
    <w:rsid w:val="6B68303F"/>
    <w:rsid w:val="6D0E3F22"/>
    <w:rsid w:val="732E2510"/>
    <w:rsid w:val="744E4660"/>
    <w:rsid w:val="753034D6"/>
    <w:rsid w:val="753355A2"/>
    <w:rsid w:val="759F1C61"/>
    <w:rsid w:val="768F0640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spacing w:before="240" w:beforeLines="0" w:after="60" w:afterLines="0"/>
      <w:outlineLvl w:val="1"/>
    </w:pPr>
    <w:rPr>
      <w:rFonts w:hint="default" w:ascii="Cambria" w:hAnsi="Cambria" w:eastAsia="黑体"/>
      <w:b/>
      <w:sz w:val="28"/>
    </w:rPr>
  </w:style>
  <w:style w:type="paragraph" w:styleId="5">
    <w:name w:val="heading 4"/>
    <w:basedOn w:val="4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34"/>
      <w:ind w:left="111"/>
    </w:pPr>
    <w:rPr>
      <w:rFonts w:ascii="方正仿宋_GBK" w:hAnsi="方正仿宋_GBK" w:eastAsia="方正仿宋_GBK"/>
      <w:sz w:val="31"/>
      <w:szCs w:val="31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1045</Words>
  <Characters>1093</Characters>
  <Lines>1</Lines>
  <Paragraphs>1</Paragraphs>
  <TotalTime>0</TotalTime>
  <ScaleCrop>false</ScaleCrop>
  <LinksUpToDate>false</LinksUpToDate>
  <CharactersWithSpaces>1145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姜莹花</cp:lastModifiedBy>
  <cp:lastPrinted>2022-06-06T16:09:00Z</cp:lastPrinted>
  <dcterms:modified xsi:type="dcterms:W3CDTF">2025-03-28T08:33:51Z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9F34BE0BDD2143DCB4ECEF7EB04CD3E1_13</vt:lpwstr>
  </property>
  <property fmtid="{D5CDD505-2E9C-101B-9397-08002B2CF9AE}" pid="4" name="KSOTemplateDocerSaveRecord">
    <vt:lpwstr>eyJoZGlkIjoiMjE0ODc1ZGViY2RiNmVjY2EyZjk4MzhjZDAwYThhNmEiLCJ1c2VySWQiOiIxNjU5MDUyNDQyIn0=</vt:lpwstr>
  </property>
</Properties>
</file>